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AAF7D">
      <w:pPr>
        <w:pStyle w:val="3"/>
        <w:keepNext w:val="0"/>
        <w:keepLines w:val="0"/>
        <w:numPr>
          <w:numId w:val="0"/>
        </w:numPr>
        <w:ind w:leftChars="0" w:firstLine="3213" w:firstLineChars="1000"/>
        <w:jc w:val="both"/>
        <w:outlineLvl w:val="0"/>
        <w:rPr>
          <w:rFonts w:hint="eastAsia" w:ascii="仿宋" w:hAnsi="仿宋" w:eastAsia="仿宋" w:cs="仿宋"/>
          <w:color w:val="auto"/>
          <w:sz w:val="32"/>
          <w:szCs w:val="32"/>
          <w:highlight w:val="none"/>
        </w:rPr>
      </w:pPr>
      <w:bookmarkStart w:id="0" w:name="_Toc19302"/>
      <w:bookmarkStart w:id="16" w:name="_GoBack"/>
      <w:bookmarkEnd w:id="16"/>
      <w:r>
        <w:rPr>
          <w:rFonts w:hint="eastAsia" w:ascii="仿宋" w:hAnsi="仿宋" w:eastAsia="仿宋" w:cs="仿宋"/>
          <w:color w:val="auto"/>
          <w:sz w:val="32"/>
          <w:szCs w:val="32"/>
          <w:highlight w:val="none"/>
        </w:rPr>
        <w:t>合同主要条款</w:t>
      </w:r>
      <w:bookmarkEnd w:id="0"/>
    </w:p>
    <w:p w14:paraId="3F133B88">
      <w:pPr>
        <w:ind w:firstLine="640" w:firstLineChars="200"/>
        <w:rPr>
          <w:rFonts w:hint="default" w:eastAsia="仿宋"/>
          <w:lang w:val="en-US"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本合同模板仅供参考以后续实际签订合同为准）</w:t>
      </w:r>
    </w:p>
    <w:p w14:paraId="7F057D63">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采购人）</w:t>
      </w:r>
      <w:r>
        <w:rPr>
          <w:rFonts w:hint="eastAsia" w:ascii="仿宋" w:hAnsi="仿宋" w:eastAsia="仿宋" w:cs="仿宋"/>
          <w:sz w:val="24"/>
          <w:szCs w:val="24"/>
        </w:rPr>
        <w:t>：</w:t>
      </w:r>
      <w:r>
        <w:rPr>
          <w:rFonts w:hint="eastAsia" w:ascii="仿宋" w:hAnsi="仿宋" w:eastAsia="仿宋" w:cs="仿宋"/>
          <w:sz w:val="24"/>
          <w:szCs w:val="24"/>
          <w:u w:val="single"/>
          <w:lang w:eastAsia="zh-CN"/>
        </w:rPr>
        <w:t>西安市临潼区人民法院</w:t>
      </w:r>
    </w:p>
    <w:p w14:paraId="4ACB0804">
      <w:pPr>
        <w:spacing w:line="360" w:lineRule="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成交供应商）</w:t>
      </w:r>
      <w:r>
        <w:rPr>
          <w:rFonts w:hint="eastAsia" w:ascii="仿宋" w:hAnsi="仿宋" w:eastAsia="仿宋" w:cs="仿宋"/>
          <w:b w:val="0"/>
          <w:bCs w:val="0"/>
          <w:sz w:val="24"/>
          <w:szCs w:val="24"/>
          <w:u w:val="single"/>
          <w:lang w:val="en-US" w:eastAsia="zh-CN"/>
        </w:rPr>
        <w:t>中国邮政速递物流股份有限公司西安市分公司</w:t>
      </w:r>
    </w:p>
    <w:p w14:paraId="5A0112B5">
      <w:pPr>
        <w:widowControl/>
        <w:adjustRightInd w:val="0"/>
        <w:snapToGrid w:val="0"/>
        <w:spacing w:line="360" w:lineRule="auto"/>
        <w:ind w:right="0" w:rightChars="0" w:firstLine="480" w:firstLineChars="200"/>
        <w:jc w:val="left"/>
        <w:rPr>
          <w:rFonts w:hint="eastAsia" w:ascii="仿宋" w:hAnsi="仿宋" w:eastAsia="仿宋" w:cs="仿宋"/>
          <w:color w:val="auto"/>
          <w:kern w:val="0"/>
          <w:sz w:val="24"/>
          <w:szCs w:val="24"/>
          <w:highlight w:val="none"/>
          <w:u w:val="none" w:color="000000"/>
          <w:shd w:val="clear" w:color="auto" w:fill="auto"/>
        </w:rPr>
      </w:pPr>
      <w:bookmarkStart w:id="1" w:name="_Toc8932"/>
      <w:bookmarkStart w:id="2" w:name="_Toc244416560"/>
      <w:r>
        <w:rPr>
          <w:rFonts w:hint="eastAsia" w:ascii="仿宋" w:hAnsi="仿宋" w:eastAsia="仿宋" w:cs="仿宋"/>
          <w:sz w:val="24"/>
          <w:szCs w:val="24"/>
          <w:highlight w:val="none"/>
        </w:rPr>
        <w:t>依据《中华人民共和国</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》和《中华人民共和国政府采购法》，经双方协商按下述条款和条件签署本合同。</w:t>
      </w:r>
    </w:p>
    <w:p w14:paraId="71852A1F">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rPr>
      </w:pPr>
      <w:r>
        <w:rPr>
          <w:rFonts w:hint="eastAsia"/>
        </w:rPr>
        <w:t>第一条、合同标的物内容及数量</w:t>
      </w:r>
      <w:bookmarkEnd w:id="1"/>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3196"/>
        <w:gridCol w:w="2517"/>
        <w:gridCol w:w="1059"/>
        <w:gridCol w:w="919"/>
        <w:gridCol w:w="965"/>
      </w:tblGrid>
      <w:tr w14:paraId="725BA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77" w:type="dxa"/>
            <w:noWrap w:val="0"/>
            <w:vAlign w:val="center"/>
          </w:tcPr>
          <w:p w14:paraId="22A88E67">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序号</w:t>
            </w:r>
          </w:p>
        </w:tc>
        <w:tc>
          <w:tcPr>
            <w:tcW w:w="3196" w:type="dxa"/>
            <w:noWrap w:val="0"/>
            <w:vAlign w:val="center"/>
          </w:tcPr>
          <w:p w14:paraId="4B22FE54">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服务名称</w:t>
            </w:r>
          </w:p>
        </w:tc>
        <w:tc>
          <w:tcPr>
            <w:tcW w:w="2517" w:type="dxa"/>
            <w:noWrap w:val="0"/>
            <w:vAlign w:val="center"/>
          </w:tcPr>
          <w:p w14:paraId="5748F201">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服务内容</w:t>
            </w:r>
          </w:p>
        </w:tc>
        <w:tc>
          <w:tcPr>
            <w:tcW w:w="1059" w:type="dxa"/>
            <w:noWrap w:val="0"/>
            <w:vAlign w:val="center"/>
          </w:tcPr>
          <w:p w14:paraId="5DE65023">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lang w:val="en-US" w:eastAsia="zh-CN"/>
              </w:rPr>
              <w:t>综合</w:t>
            </w:r>
            <w:r>
              <w:rPr>
                <w:rFonts w:hint="eastAsia" w:ascii="仿宋" w:hAnsi="仿宋" w:eastAsia="仿宋" w:cs="仿宋"/>
                <w:color w:val="000000"/>
                <w:spacing w:val="-20"/>
                <w:kern w:val="0"/>
                <w:sz w:val="24"/>
                <w:szCs w:val="24"/>
                <w:highlight w:val="none"/>
              </w:rPr>
              <w:t>单价</w:t>
            </w:r>
          </w:p>
        </w:tc>
        <w:tc>
          <w:tcPr>
            <w:tcW w:w="919" w:type="dxa"/>
            <w:noWrap w:val="0"/>
            <w:vAlign w:val="center"/>
          </w:tcPr>
          <w:p w14:paraId="3B8C5316">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数量</w:t>
            </w:r>
          </w:p>
        </w:tc>
        <w:tc>
          <w:tcPr>
            <w:tcW w:w="965" w:type="dxa"/>
            <w:noWrap w:val="0"/>
            <w:vAlign w:val="center"/>
          </w:tcPr>
          <w:p w14:paraId="3604DB9A">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总价</w:t>
            </w:r>
          </w:p>
        </w:tc>
      </w:tr>
      <w:tr w14:paraId="78D4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7489AFF5">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1</w:t>
            </w:r>
          </w:p>
        </w:tc>
        <w:tc>
          <w:tcPr>
            <w:tcW w:w="3196" w:type="dxa"/>
            <w:noWrap w:val="0"/>
            <w:vAlign w:val="center"/>
          </w:tcPr>
          <w:p w14:paraId="08051116">
            <w:pPr>
              <w:tabs>
                <w:tab w:val="left" w:pos="480"/>
              </w:tabs>
              <w:spacing w:line="360" w:lineRule="auto"/>
              <w:jc w:val="center"/>
              <w:rPr>
                <w:rFonts w:hint="eastAsia" w:ascii="仿宋" w:hAnsi="仿宋" w:eastAsia="仿宋" w:cs="仿宋"/>
                <w:color w:val="000000"/>
                <w:spacing w:val="0"/>
                <w:kern w:val="0"/>
                <w:sz w:val="24"/>
                <w:szCs w:val="24"/>
              </w:rPr>
            </w:pPr>
            <w:r>
              <w:rPr>
                <w:rFonts w:hint="eastAsia" w:ascii="仿宋" w:hAnsi="仿宋" w:eastAsia="仿宋" w:cs="仿宋"/>
                <w:color w:val="000000"/>
                <w:spacing w:val="0"/>
                <w:kern w:val="0"/>
                <w:sz w:val="24"/>
                <w:szCs w:val="24"/>
                <w:lang w:eastAsia="zh-CN"/>
              </w:rPr>
              <w:t>临潼法院2025年集约化送达服务项目</w:t>
            </w:r>
          </w:p>
        </w:tc>
        <w:tc>
          <w:tcPr>
            <w:tcW w:w="2517" w:type="dxa"/>
            <w:noWrap w:val="0"/>
            <w:vAlign w:val="center"/>
          </w:tcPr>
          <w:p w14:paraId="1FB7B752">
            <w:pPr>
              <w:tabs>
                <w:tab w:val="left" w:pos="480"/>
              </w:tabs>
              <w:spacing w:line="360" w:lineRule="auto"/>
              <w:jc w:val="center"/>
              <w:rPr>
                <w:rFonts w:hint="default" w:ascii="仿宋" w:hAnsi="仿宋" w:eastAsia="仿宋" w:cs="仿宋"/>
                <w:color w:val="000000"/>
                <w:spacing w:val="0"/>
                <w:kern w:val="0"/>
                <w:sz w:val="24"/>
                <w:szCs w:val="24"/>
                <w:lang w:val="en-US" w:eastAsia="zh-CN"/>
              </w:rPr>
            </w:pPr>
            <w:r>
              <w:rPr>
                <w:rFonts w:hint="eastAsia" w:ascii="仿宋" w:hAnsi="仿宋" w:eastAsia="仿宋" w:cs="仿宋"/>
                <w:color w:val="000000"/>
                <w:spacing w:val="0"/>
                <w:kern w:val="0"/>
                <w:sz w:val="24"/>
                <w:szCs w:val="24"/>
                <w:lang w:val="en-US" w:eastAsia="zh-CN"/>
              </w:rPr>
              <w:t>详见采购需求</w:t>
            </w:r>
          </w:p>
        </w:tc>
        <w:tc>
          <w:tcPr>
            <w:tcW w:w="1059" w:type="dxa"/>
            <w:noWrap w:val="0"/>
            <w:vAlign w:val="center"/>
          </w:tcPr>
          <w:p w14:paraId="749B623A">
            <w:pPr>
              <w:tabs>
                <w:tab w:val="left" w:pos="480"/>
              </w:tabs>
              <w:spacing w:line="360" w:lineRule="auto"/>
              <w:jc w:val="center"/>
              <w:rPr>
                <w:rFonts w:hint="eastAsia" w:ascii="仿宋" w:hAnsi="仿宋" w:eastAsia="仿宋" w:cs="仿宋"/>
                <w:color w:val="000000"/>
                <w:spacing w:val="-20"/>
                <w:kern w:val="0"/>
                <w:sz w:val="24"/>
                <w:szCs w:val="24"/>
              </w:rPr>
            </w:pPr>
          </w:p>
        </w:tc>
        <w:tc>
          <w:tcPr>
            <w:tcW w:w="919" w:type="dxa"/>
            <w:noWrap w:val="0"/>
            <w:vAlign w:val="center"/>
          </w:tcPr>
          <w:p w14:paraId="4E5CC7EB">
            <w:pPr>
              <w:tabs>
                <w:tab w:val="left" w:pos="480"/>
              </w:tabs>
              <w:spacing w:line="360" w:lineRule="auto"/>
              <w:jc w:val="center"/>
              <w:rPr>
                <w:rFonts w:hint="eastAsia" w:ascii="仿宋" w:hAnsi="仿宋" w:eastAsia="仿宋" w:cs="仿宋"/>
                <w:color w:val="000000"/>
                <w:spacing w:val="-20"/>
                <w:kern w:val="0"/>
                <w:sz w:val="24"/>
                <w:szCs w:val="24"/>
              </w:rPr>
            </w:pPr>
          </w:p>
        </w:tc>
        <w:tc>
          <w:tcPr>
            <w:tcW w:w="965" w:type="dxa"/>
            <w:noWrap w:val="0"/>
            <w:vAlign w:val="center"/>
          </w:tcPr>
          <w:p w14:paraId="373BD951">
            <w:pPr>
              <w:tabs>
                <w:tab w:val="left" w:pos="480"/>
              </w:tabs>
              <w:spacing w:line="360" w:lineRule="auto"/>
              <w:jc w:val="center"/>
              <w:rPr>
                <w:rFonts w:hint="eastAsia" w:ascii="仿宋" w:hAnsi="仿宋" w:eastAsia="仿宋" w:cs="仿宋"/>
                <w:color w:val="000000"/>
                <w:spacing w:val="-20"/>
                <w:kern w:val="0"/>
                <w:sz w:val="24"/>
                <w:szCs w:val="24"/>
              </w:rPr>
            </w:pPr>
          </w:p>
        </w:tc>
      </w:tr>
      <w:tr w14:paraId="278C3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39EBF087">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合计</w:t>
            </w:r>
          </w:p>
        </w:tc>
        <w:tc>
          <w:tcPr>
            <w:tcW w:w="8656" w:type="dxa"/>
            <w:gridSpan w:val="5"/>
            <w:noWrap w:val="0"/>
            <w:vAlign w:val="center"/>
          </w:tcPr>
          <w:p w14:paraId="05B7E388">
            <w:pPr>
              <w:tabs>
                <w:tab w:val="left" w:pos="480"/>
              </w:tabs>
              <w:spacing w:line="360" w:lineRule="auto"/>
              <w:jc w:val="center"/>
              <w:rPr>
                <w:rFonts w:hint="eastAsia" w:ascii="仿宋" w:hAnsi="仿宋" w:eastAsia="仿宋" w:cs="仿宋"/>
                <w:color w:val="000000"/>
                <w:spacing w:val="-20"/>
                <w:kern w:val="0"/>
                <w:sz w:val="24"/>
                <w:szCs w:val="24"/>
              </w:rPr>
            </w:pPr>
          </w:p>
        </w:tc>
      </w:tr>
    </w:tbl>
    <w:p w14:paraId="45DD21B5">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3" w:name="_Toc29769"/>
      <w:r>
        <w:rPr>
          <w:rFonts w:hint="eastAsia" w:cs="Times New Roman"/>
        </w:rPr>
        <w:t>第二条、服务条件</w:t>
      </w:r>
      <w:bookmarkEnd w:id="3"/>
    </w:p>
    <w:p w14:paraId="385DD5E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（一</w:t>
      </w:r>
      <w:r>
        <w:rPr>
          <w:rFonts w:hint="eastAsia" w:ascii="仿宋" w:hAnsi="仿宋" w:eastAsia="仿宋" w:cs="仿宋"/>
          <w:sz w:val="24"/>
          <w:szCs w:val="24"/>
          <w:highlight w:val="none"/>
        </w:rPr>
        <w:t>）服务地点：甲方指定地点。</w:t>
      </w:r>
    </w:p>
    <w:p w14:paraId="55DD2BE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sz w:val="24"/>
          <w:szCs w:val="24"/>
          <w:highlight w:val="none"/>
          <w:u w:val="single"/>
        </w:rPr>
        <w:t>一年</w:t>
      </w:r>
      <w:r>
        <w:rPr>
          <w:rFonts w:hint="eastAsia" w:ascii="仿宋" w:hAnsi="仿宋" w:eastAsia="仿宋" w:cs="仿宋"/>
          <w:sz w:val="24"/>
          <w:szCs w:val="24"/>
          <w:highlight w:val="none"/>
        </w:rPr>
        <w:t>。</w:t>
      </w:r>
    </w:p>
    <w:bookmarkEnd w:id="2"/>
    <w:p w14:paraId="37BEFAFA">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4" w:name="_Toc244416561"/>
      <w:bookmarkStart w:id="5" w:name="_Toc28142"/>
      <w:r>
        <w:rPr>
          <w:rFonts w:hint="eastAsia" w:cs="Times New Roman"/>
          <w:highlight w:val="none"/>
        </w:rPr>
        <w:t>第三条、</w:t>
      </w:r>
      <w:bookmarkEnd w:id="4"/>
      <w:r>
        <w:rPr>
          <w:rFonts w:hint="eastAsia" w:cs="Times New Roman"/>
          <w:highlight w:val="none"/>
        </w:rPr>
        <w:t>合同价款、付款方式及比例</w:t>
      </w:r>
      <w:bookmarkEnd w:id="5"/>
    </w:p>
    <w:p w14:paraId="6315888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（一）合同价款</w:t>
      </w:r>
    </w:p>
    <w:p w14:paraId="6E4900B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为人民币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一次性包死，不受市场价格变化因素的影响。</w:t>
      </w:r>
    </w:p>
    <w:p w14:paraId="1FF9F42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（二）付款方式</w:t>
      </w:r>
    </w:p>
    <w:p w14:paraId="56D7F8D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601260F">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6" w:name="_Toc5939"/>
      <w:r>
        <w:rPr>
          <w:rFonts w:hint="eastAsia" w:cs="Times New Roman"/>
          <w:highlight w:val="none"/>
        </w:rPr>
        <w:t>第四条、验收标准及方法</w:t>
      </w:r>
      <w:bookmarkEnd w:id="6"/>
    </w:p>
    <w:p w14:paraId="7BABB5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（一）乙方完成并交付的工作成果需经甲方验收合格，则视为接受。如果在验收时甲方表明不接受乙方提交的工作成果并明示不接受的原因，乙方应当采取合理之措施进行修改，以达到合同规定的要求。</w:t>
      </w:r>
    </w:p>
    <w:p w14:paraId="4B11B2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（二）验收依据</w:t>
      </w:r>
    </w:p>
    <w:p w14:paraId="622A44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1、本合同及附件文本所约定的验收标准； </w:t>
      </w:r>
    </w:p>
    <w:p w14:paraId="5DE33D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响应文件、澄清表（函）；</w:t>
      </w:r>
    </w:p>
    <w:p w14:paraId="599FC7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3、国家相应的标准、规范。</w:t>
      </w:r>
    </w:p>
    <w:p w14:paraId="39F5041E">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7" w:name="_Toc31160"/>
      <w:r>
        <w:rPr>
          <w:rFonts w:hint="eastAsia" w:cs="Times New Roman"/>
        </w:rPr>
        <w:t>第五条、质量保证</w:t>
      </w:r>
      <w:bookmarkEnd w:id="7"/>
    </w:p>
    <w:p w14:paraId="2D59D030">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u w:val="single"/>
          <w:lang w:val="en-US" w:eastAsia="zh-CN"/>
        </w:rPr>
        <w:t xml:space="preserve">                               </w:t>
      </w:r>
      <w:r>
        <w:rPr>
          <w:rFonts w:hint="eastAsia" w:ascii="仿宋" w:hAnsi="仿宋" w:eastAsia="仿宋" w:cs="仿宋"/>
          <w:color w:val="auto"/>
          <w:sz w:val="24"/>
          <w:szCs w:val="24"/>
          <w:highlight w:val="none"/>
        </w:rPr>
        <w:t>。</w:t>
      </w:r>
    </w:p>
    <w:p w14:paraId="56DE28B5">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8" w:name="_Toc5209"/>
      <w:r>
        <w:rPr>
          <w:rFonts w:hint="eastAsia" w:cs="Times New Roman"/>
        </w:rPr>
        <w:t>第六条、双方的权利和义务</w:t>
      </w:r>
      <w:bookmarkEnd w:id="8"/>
    </w:p>
    <w:p w14:paraId="359F3B72">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9" w:name="_Toc9815"/>
      <w:r>
        <w:rPr>
          <w:rFonts w:hint="eastAsia" w:ascii="仿宋" w:hAnsi="仿宋" w:eastAsia="仿宋" w:cs="仿宋"/>
          <w:sz w:val="24"/>
          <w:szCs w:val="24"/>
        </w:rPr>
        <w:t>（一）甲方的权利和义务</w:t>
      </w:r>
      <w:bookmarkEnd w:id="9"/>
    </w:p>
    <w:p w14:paraId="5D0B0B4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1、乙方进行现场维护时，甲方应在维护产品附近为乙方人员提供足够的贮物空间，为乙方维保工作提供便利。</w:t>
      </w:r>
    </w:p>
    <w:p w14:paraId="604EA721">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2、在甲方安全规定允许的前提下，为乙方的人员能够顺利到达维护现场提供方便。</w:t>
      </w:r>
    </w:p>
    <w:p w14:paraId="5A01E429">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3、甲方按照乙方的指导进行非现场维护操作。</w:t>
      </w:r>
    </w:p>
    <w:p w14:paraId="1F9309AE">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4、甲方及时将本合同下维保范围内出现的故障情况通知乙方，乙方负责做好故障有关资料的记录工作。</w:t>
      </w:r>
    </w:p>
    <w:p w14:paraId="185E04A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5、应乙方维保要求，甲方需提供所需维保服务的所有设备的产品型号、序列号、配置、购买时间、安装地点和设备用途等信息。</w:t>
      </w:r>
    </w:p>
    <w:p w14:paraId="36D493D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6、甲方有权对乙方工程师的工作态度、技术水平进行监督和评判并提出相应的要求，乙方也会由独立的服务质量监督人员对甲方予以不定期的回访。</w:t>
      </w:r>
    </w:p>
    <w:p w14:paraId="5BBAA2B3">
      <w:pPr>
        <w:tabs>
          <w:tab w:val="left" w:pos="480"/>
        </w:tabs>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7、甲方有权不定时、不定范围开展书面或口头的运维满意度调查，并有权向乙方反馈调查情况，乙方应听取甲方反馈的意见；形成书面调查表并加盖有部门以上印章的，可以作为扣除款项的依据。</w:t>
      </w:r>
    </w:p>
    <w:p w14:paraId="3B51840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8、</w:t>
      </w:r>
      <w:r>
        <w:rPr>
          <w:rFonts w:hint="eastAsia" w:ascii="仿宋" w:hAnsi="仿宋" w:eastAsia="仿宋" w:cs="仿宋"/>
          <w:sz w:val="24"/>
          <w:szCs w:val="24"/>
        </w:rPr>
        <w:t>在项目实施过程中，如甲方发现某项目组成员不能满足工作要求，甲方有权要求乙方进行人员调整。</w:t>
      </w:r>
    </w:p>
    <w:p w14:paraId="5FA1D455">
      <w:pPr>
        <w:tabs>
          <w:tab w:val="left" w:pos="480"/>
        </w:tabs>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9、在项目实施过程中发生的人身及财产损失由乙方负责，甲方不承担任何责任。</w:t>
      </w:r>
    </w:p>
    <w:p w14:paraId="6707B035">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10" w:name="_Toc4456"/>
      <w:r>
        <w:rPr>
          <w:rFonts w:hint="eastAsia" w:ascii="仿宋" w:hAnsi="仿宋" w:eastAsia="仿宋" w:cs="仿宋"/>
          <w:sz w:val="24"/>
          <w:szCs w:val="24"/>
        </w:rPr>
        <w:t>（二）乙方的权利和义务</w:t>
      </w:r>
      <w:bookmarkEnd w:id="10"/>
    </w:p>
    <w:p w14:paraId="28F9C3FF">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1、乙方确保提供维保服务的设备能够稳定安全的运行。保证备件和备机的技术指标先进、质量性能可靠、进货渠道正常，配置合理，全面满足甲方要求。</w:t>
      </w:r>
    </w:p>
    <w:p w14:paraId="7267D7FC">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2、乙方为甲方提供定期巡检，做好预防性维护。</w:t>
      </w:r>
    </w:p>
    <w:p w14:paraId="662ADF4F">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3、乙方进入甲方机房，必须持有甲方签发的通行证，并由甲方人员陪同，同时遵守机房的各种规定。</w:t>
      </w:r>
    </w:p>
    <w:p w14:paraId="75D949D5">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在甲方机房操作期间必须由甲方人员进行现场监督，所进行的操作必须经过甲方同意；工作结束后，需经甲乙双方现场人员检查系统，书面确认操作内容和操作达到目的，且系统运行正常后方可离开现场。</w:t>
      </w:r>
    </w:p>
    <w:p w14:paraId="56D2358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5、乙方保证在甲方现场的工作人员严格按照甲方现场管理要求和工作纪律行事。</w:t>
      </w:r>
    </w:p>
    <w:p w14:paraId="43DFF8A4">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6、因乙方技术问题或维护问题造成甲方的硬件受到损坏，乙方应负责赔偿甲方因此所遭受的全部损失。</w:t>
      </w:r>
    </w:p>
    <w:p w14:paraId="7AF410C4">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7、乙方应按甲方要求如期向甲方交付相关文档，如定期的巡检报告服务季度报告、现场服务单等。</w:t>
      </w:r>
    </w:p>
    <w:p w14:paraId="09451D23">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8、乙方在服务过程中发现非本合同服务范围内的软硬件问题导致系统故障，应及时向甲方汇报，在获得甲方的许可和费用确认后另行处理。</w:t>
      </w:r>
    </w:p>
    <w:p w14:paraId="7DE18693">
      <w:pPr>
        <w:tabs>
          <w:tab w:val="left" w:pos="480"/>
        </w:tabs>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9、对系统的更新升级，以及数据的增加、更改、删除、向外拷贝等操作，乙方在执行前应当获得甲方单独的授权或许可，未经甲方授权或许可的不得执行该操作。</w:t>
      </w:r>
    </w:p>
    <w:p w14:paraId="0A8471AA">
      <w:pPr>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10、</w:t>
      </w:r>
      <w:r>
        <w:rPr>
          <w:rFonts w:hint="eastAsia" w:ascii="仿宋" w:hAnsi="仿宋" w:eastAsia="仿宋" w:cs="仿宋"/>
          <w:sz w:val="24"/>
          <w:szCs w:val="24"/>
        </w:rPr>
        <w:t>在项目实施过程中，乙方项目组成员（特别是项目经理）未经甲方许可不得随意变动。乙方项目经理离开24小时，需向甲方提出书面申请，经甲方书面同意方可变动。乙方项目组成员如需变动，需向甲方提出书面申请，经甲方书面同意方可变动。</w:t>
      </w:r>
    </w:p>
    <w:p w14:paraId="0B22958E">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1" w:name="_Toc22791"/>
      <w:r>
        <w:rPr>
          <w:rFonts w:hint="eastAsia" w:cs="Times New Roman"/>
        </w:rPr>
        <w:t>第七条、保密责任</w:t>
      </w:r>
      <w:bookmarkEnd w:id="11"/>
    </w:p>
    <w:p w14:paraId="5DE20AD3">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（一）乙方应遵守国家有关保密的法律法规和行业规定，并对甲方提供的资料负有保密义务。未经甲方同意，不得将在甲方处获得的信息资料带离甲方指定的工作场所或泄露给其他单位和个人。</w:t>
      </w:r>
    </w:p>
    <w:p w14:paraId="4D516AF1">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（二）甲方保护乙方的知识产权，但依据相关法定职责对外公开的除外。</w:t>
      </w:r>
    </w:p>
    <w:p w14:paraId="6B4FD04B">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2" w:name="_Toc25573"/>
      <w:r>
        <w:rPr>
          <w:rFonts w:hint="eastAsia" w:cs="Times New Roman"/>
        </w:rPr>
        <w:t>第八条、违约情形及责任</w:t>
      </w:r>
      <w:bookmarkEnd w:id="12"/>
    </w:p>
    <w:p w14:paraId="220948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（一）</w:t>
      </w:r>
      <w:r>
        <w:rPr>
          <w:rFonts w:hint="default" w:ascii="仿宋" w:hAnsi="仿宋" w:eastAsia="仿宋" w:cs="仿宋"/>
          <w:sz w:val="24"/>
          <w:szCs w:val="24"/>
          <w:lang w:val="en-US" w:eastAsia="zh-CN"/>
        </w:rPr>
        <w:t>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785B02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（二）</w:t>
      </w:r>
      <w:r>
        <w:rPr>
          <w:rFonts w:hint="default" w:ascii="仿宋" w:hAnsi="仿宋" w:eastAsia="仿宋" w:cs="仿宋"/>
          <w:sz w:val="24"/>
          <w:szCs w:val="24"/>
          <w:lang w:val="en-US" w:eastAsia="zh-CN"/>
        </w:rPr>
        <w:t>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0714F5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（三）</w:t>
      </w:r>
      <w:r>
        <w:rPr>
          <w:rFonts w:hint="default" w:ascii="仿宋" w:hAnsi="仿宋" w:eastAsia="仿宋" w:cs="仿宋"/>
          <w:sz w:val="24"/>
          <w:szCs w:val="24"/>
          <w:lang w:val="en-US" w:eastAsia="zh-CN"/>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 以谎报事实或隐瞒真相的方法来影响对方当事人在合同签订、履行过程中的行为)的，对方当事人可以书面通知违约方解除本合同；</w:t>
      </w:r>
    </w:p>
    <w:p w14:paraId="3ADE9B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（四）</w:t>
      </w:r>
      <w:r>
        <w:rPr>
          <w:rFonts w:hint="default" w:ascii="仿宋" w:hAnsi="仿宋" w:eastAsia="仿宋" w:cs="仿宋"/>
          <w:sz w:val="24"/>
          <w:szCs w:val="24"/>
          <w:lang w:val="en-US" w:eastAsia="zh-CN"/>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E836A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（五）</w:t>
      </w:r>
      <w:r>
        <w:rPr>
          <w:rFonts w:hint="default" w:ascii="仿宋" w:hAnsi="仿宋" w:eastAsia="仿宋" w:cs="仿宋"/>
          <w:sz w:val="24"/>
          <w:szCs w:val="24"/>
          <w:lang w:val="en-US" w:eastAsia="zh-CN"/>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6D5A6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w:t>
      </w:r>
      <w:r>
        <w:rPr>
          <w:rFonts w:hint="default" w:ascii="仿宋" w:hAnsi="仿宋" w:eastAsia="仿宋" w:cs="仿宋"/>
          <w:sz w:val="24"/>
          <w:szCs w:val="24"/>
          <w:lang w:val="en-US" w:eastAsia="zh-CN"/>
        </w:rPr>
        <w:t>如果出现政府采购监督管理部门在处理投诉事项期间，书面通知甲方暂停采购活动的情形，或者询问或质疑事项可能影响成交结果的，导致甲方中止履行合同的情形，均不视为甲方违约</w:t>
      </w:r>
      <w:r>
        <w:rPr>
          <w:rFonts w:hint="eastAsia" w:ascii="仿宋" w:hAnsi="仿宋" w:eastAsia="仿宋" w:cs="仿宋"/>
          <w:sz w:val="24"/>
          <w:szCs w:val="24"/>
        </w:rPr>
        <w:t>。</w:t>
      </w:r>
    </w:p>
    <w:p w14:paraId="0E35B0E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（七）其他违约行为，按照国家有关法规和条例承担法律责任。</w:t>
      </w:r>
    </w:p>
    <w:p w14:paraId="706739FE">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3" w:name="_Toc27017"/>
      <w:r>
        <w:rPr>
          <w:rFonts w:hint="eastAsia" w:cs="Times New Roman"/>
        </w:rPr>
        <w:t>第九条、合同解除</w:t>
      </w:r>
      <w:bookmarkEnd w:id="13"/>
    </w:p>
    <w:p w14:paraId="6EF62E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（一）如果乙方有下述任何一种违约行为或《合同条款》中规定的其它违约行为，在不妨碍甲方采取其它救济手段的情况下，甲方可以向乙方发出书面违约通知，全部或部分地解除合同。</w:t>
      </w:r>
    </w:p>
    <w:p w14:paraId="7F56542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1、乙方未能按合同规定的期限交付系统和/或提供相关的服务及技术资料；</w:t>
      </w:r>
    </w:p>
    <w:p w14:paraId="41CEC5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2、乙方未能使规划方案达到相应合同附件规定的技术性能和保证指标；</w:t>
      </w:r>
    </w:p>
    <w:p w14:paraId="347A386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3、乙方未能履行合同项下任何其它义务，并且在收到甲方违约通知后未能按通知所规定的期限对其违约行为作出补救；</w:t>
      </w:r>
    </w:p>
    <w:p w14:paraId="2127785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4、乙方在项目实施过程中未经甲方书面同意将项目的全部或部分转让、转包或分包给第三方公司或个人。</w:t>
      </w:r>
    </w:p>
    <w:p w14:paraId="08EF7D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（二）如果一方破产或发生资不抵债的情况,合同另一方有权在任何时候发出书面通知解除合同。此种情况下合同的解除不妨碍或影响行使任何可能的其它救济手段。</w:t>
      </w:r>
    </w:p>
    <w:p w14:paraId="28AB7C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（三）如果甲方认定乙方在竞标或执行合同中有腐败或欺诈行为, 甲方有权在任何时候发出书面通知解除合同。 </w:t>
      </w:r>
    </w:p>
    <w:p w14:paraId="2CC0E9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1、“腐败行为”系指在招标、采购和合同执行等过程中，为谋求利益、影响相关人员而提供、给予、接受或索取任何有价物的行为。</w:t>
      </w:r>
    </w:p>
    <w:p w14:paraId="6EF4BE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欺诈行为”系指为了影响招标、采购和合同执行等过程而隐瞒事实，从而给甲方造成损害的行为，其中包括供应商之间的串通行为，其旨在使投标价成为人为的、无竞争的价格，并使甲方无法从自由公开的竞争中受益。</w:t>
      </w:r>
    </w:p>
    <w:p w14:paraId="7ABBC1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（四）如果甲方行使解除合同的权利，甲方有权停付合同款，并有权将在执行合同中预付给乙方的款项索回，并有权要求乙方赔偿由此产生的直接经济损失。</w:t>
      </w:r>
    </w:p>
    <w:p w14:paraId="71E954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若（二）和（三）考虑的情况确实发生，甲方有权从乙方手中将与“项目”有关的工作接管并收归己有，乙方应给甲方提供全权处理并提供一切合理的方便，甲方对这种终止合同直接或间接引起的对乙方的任何索赔不承担责任。</w:t>
      </w:r>
    </w:p>
    <w:p w14:paraId="06206DEB">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4" w:name="_Toc17305"/>
      <w:r>
        <w:rPr>
          <w:rFonts w:hint="eastAsia" w:cs="Times New Roman"/>
        </w:rPr>
        <w:t>第十条、争议解决方式</w:t>
      </w:r>
      <w:bookmarkEnd w:id="14"/>
    </w:p>
    <w:p w14:paraId="671539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因履行本合同发生的争议，由甲方和乙方协商解决，协商不成的，任何一方均可向甲方住所地人民法院提起诉讼，通过诉讼途径解决。</w:t>
      </w:r>
    </w:p>
    <w:p w14:paraId="1FB02384">
      <w:pPr>
        <w:pStyle w:val="4"/>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5" w:name="_Toc7009"/>
      <w:r>
        <w:rPr>
          <w:rFonts w:hint="eastAsia" w:cs="Times New Roman"/>
        </w:rPr>
        <w:t>第十一条、合同组成及生效</w:t>
      </w:r>
      <w:bookmarkEnd w:id="15"/>
    </w:p>
    <w:p w14:paraId="35A07F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（一）合同组成</w:t>
      </w:r>
    </w:p>
    <w:p w14:paraId="2C90E3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1、甲方与乙方签署的合同中的所有条款；</w:t>
      </w:r>
    </w:p>
    <w:p w14:paraId="5C61A2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0617DF2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文件及澄清（如有）</w:t>
      </w:r>
    </w:p>
    <w:p w14:paraId="3124267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响应文件及澄清（如有）</w:t>
      </w:r>
    </w:p>
    <w:p w14:paraId="3DF6BCE4">
      <w:pPr>
        <w:tabs>
          <w:tab w:val="left" w:pos="480"/>
        </w:tabs>
        <w:spacing w:after="249" w:afterLines="5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（二）本合同一式</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份，乙方持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份，甲乙双方签字盖章后生效。</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00"/>
        <w:gridCol w:w="4680"/>
      </w:tblGrid>
      <w:tr w14:paraId="6C6D4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exact"/>
          <w:jc w:val="center"/>
        </w:trPr>
        <w:tc>
          <w:tcPr>
            <w:tcW w:w="4400" w:type="dxa"/>
            <w:tcBorders>
              <w:tl2br w:val="nil"/>
              <w:tr2bl w:val="nil"/>
            </w:tcBorders>
            <w:noWrap w:val="0"/>
            <w:tcMar>
              <w:left w:w="0" w:type="dxa"/>
              <w:right w:w="0" w:type="dxa"/>
            </w:tcMar>
            <w:vAlign w:val="center"/>
          </w:tcPr>
          <w:p w14:paraId="4CA05954">
            <w:pPr>
              <w:autoSpaceDE w:val="0"/>
              <w:autoSpaceDN w:val="0"/>
              <w:adjustRightInd w:val="0"/>
              <w:spacing w:line="360" w:lineRule="auto"/>
              <w:rPr>
                <w:rFonts w:hint="eastAsia" w:ascii="仿宋" w:hAnsi="仿宋" w:eastAsia="仿宋" w:cs="仿宋"/>
                <w:b/>
                <w:kern w:val="0"/>
                <w:sz w:val="24"/>
                <w:szCs w:val="24"/>
                <w:lang w:eastAsia="zh-CN"/>
              </w:rPr>
            </w:pPr>
            <w:r>
              <w:rPr>
                <w:rFonts w:hint="eastAsia" w:ascii="仿宋" w:hAnsi="仿宋" w:eastAsia="仿宋" w:cs="仿宋"/>
                <w:b/>
                <w:kern w:val="0"/>
                <w:sz w:val="24"/>
                <w:szCs w:val="24"/>
              </w:rPr>
              <w:t>甲方：</w:t>
            </w:r>
            <w:r>
              <w:rPr>
                <w:rFonts w:hint="eastAsia" w:ascii="仿宋" w:hAnsi="仿宋" w:eastAsia="仿宋" w:cs="仿宋"/>
                <w:b/>
                <w:kern w:val="0"/>
                <w:sz w:val="24"/>
                <w:szCs w:val="24"/>
                <w:lang w:eastAsia="zh-CN"/>
              </w:rPr>
              <w:t>西安市临潼区人民法院</w:t>
            </w:r>
          </w:p>
          <w:p w14:paraId="2DADEE18">
            <w:pPr>
              <w:autoSpaceDE w:val="0"/>
              <w:autoSpaceDN w:val="0"/>
              <w:adjustRightInd w:val="0"/>
              <w:spacing w:line="360" w:lineRule="auto"/>
              <w:ind w:firstLine="2880" w:firstLineChars="12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c>
          <w:tcPr>
            <w:tcW w:w="4680" w:type="dxa"/>
            <w:tcBorders>
              <w:tl2br w:val="nil"/>
              <w:tr2bl w:val="nil"/>
            </w:tcBorders>
            <w:noWrap w:val="0"/>
            <w:tcMar>
              <w:left w:w="0" w:type="dxa"/>
              <w:right w:w="0" w:type="dxa"/>
            </w:tcMar>
            <w:vAlign w:val="center"/>
          </w:tcPr>
          <w:p w14:paraId="732DA074">
            <w:pPr>
              <w:autoSpaceDE w:val="0"/>
              <w:autoSpaceDN w:val="0"/>
              <w:adjustRightInd w:val="0"/>
              <w:spacing w:line="360" w:lineRule="auto"/>
              <w:rPr>
                <w:rFonts w:hint="eastAsia" w:ascii="仿宋" w:hAnsi="仿宋" w:eastAsia="仿宋" w:cs="仿宋"/>
                <w:b w:val="0"/>
                <w:bCs w:val="0"/>
                <w:sz w:val="24"/>
                <w:szCs w:val="24"/>
                <w:u w:val="none"/>
                <w:lang w:val="en-US" w:eastAsia="zh-CN"/>
              </w:rPr>
            </w:pPr>
            <w:r>
              <w:rPr>
                <w:rFonts w:hint="eastAsia" w:ascii="仿宋" w:hAnsi="仿宋" w:eastAsia="仿宋" w:cs="仿宋"/>
                <w:b/>
                <w:kern w:val="0"/>
                <w:sz w:val="24"/>
                <w:szCs w:val="24"/>
              </w:rPr>
              <w:t>乙方：</w:t>
            </w:r>
            <w:r>
              <w:rPr>
                <w:rFonts w:hint="eastAsia" w:ascii="仿宋" w:hAnsi="仿宋" w:eastAsia="仿宋" w:cs="仿宋"/>
                <w:b w:val="0"/>
                <w:bCs w:val="0"/>
                <w:sz w:val="24"/>
                <w:szCs w:val="24"/>
                <w:u w:val="none"/>
                <w:lang w:val="en-US" w:eastAsia="zh-CN"/>
              </w:rPr>
              <w:t>中国邮政速递物流股份有限公司</w:t>
            </w:r>
          </w:p>
          <w:p w14:paraId="2E8D0C8E">
            <w:pPr>
              <w:autoSpaceDE w:val="0"/>
              <w:autoSpaceDN w:val="0"/>
              <w:adjustRightInd w:val="0"/>
              <w:spacing w:line="360" w:lineRule="auto"/>
              <w:ind w:firstLine="720" w:firstLineChars="300"/>
              <w:rPr>
                <w:rFonts w:hint="eastAsia" w:ascii="仿宋" w:hAnsi="仿宋" w:eastAsia="仿宋" w:cs="仿宋"/>
                <w:b/>
                <w:kern w:val="0"/>
                <w:sz w:val="24"/>
                <w:szCs w:val="24"/>
                <w:u w:val="none"/>
              </w:rPr>
            </w:pPr>
            <w:r>
              <w:rPr>
                <w:rFonts w:hint="eastAsia" w:ascii="仿宋" w:hAnsi="仿宋" w:eastAsia="仿宋" w:cs="仿宋"/>
                <w:b w:val="0"/>
                <w:bCs w:val="0"/>
                <w:sz w:val="24"/>
                <w:szCs w:val="24"/>
                <w:u w:val="none"/>
                <w:lang w:val="en-US" w:eastAsia="zh-CN"/>
              </w:rPr>
              <w:t xml:space="preserve">西安市分公司         </w:t>
            </w:r>
            <w:r>
              <w:rPr>
                <w:rFonts w:hint="eastAsia" w:ascii="仿宋" w:hAnsi="仿宋" w:eastAsia="仿宋" w:cs="仿宋"/>
                <w:color w:val="000000"/>
                <w:kern w:val="0"/>
                <w:sz w:val="24"/>
                <w:szCs w:val="24"/>
              </w:rPr>
              <w:t>（盖章）</w:t>
            </w:r>
          </w:p>
          <w:p w14:paraId="539A689A">
            <w:pPr>
              <w:autoSpaceDE w:val="0"/>
              <w:autoSpaceDN w:val="0"/>
              <w:adjustRightInd w:val="0"/>
              <w:spacing w:line="360" w:lineRule="auto"/>
              <w:ind w:firstLine="3360" w:firstLineChars="14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r>
      <w:tr w14:paraId="26EE5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506C9C2B">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地址：</w:t>
            </w:r>
            <w:r>
              <w:rPr>
                <w:rFonts w:hint="eastAsia" w:ascii="仿宋" w:hAnsi="仿宋" w:eastAsia="仿宋" w:cs="仿宋"/>
                <w:color w:val="000000"/>
                <w:kern w:val="0"/>
                <w:sz w:val="24"/>
                <w:szCs w:val="24"/>
                <w:lang w:eastAsia="zh-CN"/>
              </w:rPr>
              <w:t>西安市临潼区人民北路4号</w:t>
            </w:r>
          </w:p>
        </w:tc>
        <w:tc>
          <w:tcPr>
            <w:tcW w:w="4680" w:type="dxa"/>
            <w:tcBorders>
              <w:tl2br w:val="nil"/>
              <w:tr2bl w:val="nil"/>
            </w:tcBorders>
            <w:noWrap w:val="0"/>
            <w:vAlign w:val="center"/>
          </w:tcPr>
          <w:p w14:paraId="721F8C08">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1D891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02A45F7B">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邮编：710699</w:t>
            </w:r>
          </w:p>
        </w:tc>
        <w:tc>
          <w:tcPr>
            <w:tcW w:w="4680" w:type="dxa"/>
            <w:tcBorders>
              <w:tl2br w:val="nil"/>
              <w:tr2bl w:val="nil"/>
            </w:tcBorders>
            <w:noWrap w:val="0"/>
            <w:vAlign w:val="center"/>
          </w:tcPr>
          <w:p w14:paraId="12134862">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46EBE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6844835C">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c>
          <w:tcPr>
            <w:tcW w:w="4680" w:type="dxa"/>
            <w:tcBorders>
              <w:tl2br w:val="nil"/>
              <w:tr2bl w:val="nil"/>
            </w:tcBorders>
            <w:noWrap w:val="0"/>
            <w:vAlign w:val="center"/>
          </w:tcPr>
          <w:p w14:paraId="39A8DA8E">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r>
      <w:tr w14:paraId="014B5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29AEFFE3">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c>
          <w:tcPr>
            <w:tcW w:w="4680" w:type="dxa"/>
            <w:tcBorders>
              <w:tl2br w:val="nil"/>
              <w:tr2bl w:val="nil"/>
            </w:tcBorders>
            <w:noWrap w:val="0"/>
            <w:vAlign w:val="center"/>
          </w:tcPr>
          <w:p w14:paraId="2613FB4A">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2BF87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4400" w:type="dxa"/>
            <w:tcBorders>
              <w:tl2br w:val="nil"/>
              <w:tr2bl w:val="nil"/>
            </w:tcBorders>
            <w:noWrap w:val="0"/>
            <w:vAlign w:val="center"/>
          </w:tcPr>
          <w:p w14:paraId="655EEA3B">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680" w:type="dxa"/>
            <w:tcBorders>
              <w:tl2br w:val="nil"/>
              <w:tr2bl w:val="nil"/>
            </w:tcBorders>
            <w:noWrap w:val="0"/>
            <w:vAlign w:val="center"/>
          </w:tcPr>
          <w:p w14:paraId="30044005">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bl>
    <w:p w14:paraId="507705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3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2"/>
    <w:basedOn w:val="1"/>
    <w:next w:val="5"/>
    <w:qFormat/>
    <w:uiPriority w:val="0"/>
    <w:pPr>
      <w:keepNext/>
      <w:keepLines/>
      <w:spacing w:before="260" w:beforeLines="0" w:after="260" w:afterLines="0" w:line="360" w:lineRule="auto"/>
      <w:jc w:val="center"/>
      <w:outlineLvl w:val="1"/>
    </w:pPr>
    <w:rPr>
      <w:rFonts w:ascii="Cambria" w:hAnsi="Cambria" w:eastAsia="仿宋"/>
      <w:b/>
      <w:bCs/>
      <w:sz w:val="28"/>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2025-05-21T09:16:49Z</dcterms:created>
  <dc:creator>PC</dc:creator>
  <cp:lastModifiedBy>PC</cp:lastModifiedBy>
  <dcterms:modified xsi:type="dcterms:W3CDTF">2025-05-21T09:18:49Z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eyJoZGlkIjoiYzNkMDQyOGVjMzc1NzZhNmMxZjBjODgxYWVkMmJkYmIifQ==</vt:lpwstr>
  </property>
  <property fmtid="{D5CDD505-2E9C-101B-9397-08002B2CF9AE}" pid="4" name="ICV">
    <vt:lpwstr>61CAC5B5439048A8992090E2D547A745_12</vt:lpwstr>
  </property>
</Properties>
</file>