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hint="eastAsia" w:ascii="黑体" w:hAnsi="黑体" w:eastAsia="黑体" w:cs="黑体"/>
          <w:b w:val="0"/>
          <w:bCs w:val="0"/>
          <w:color w:val="1F4E79"/>
          <w:kern w:val="2"/>
          <w:sz w:val="28"/>
          <w:szCs w:val="32"/>
          <w:lang w:val="zh-CN" w:eastAsia="zh-CN" w:bidi="ar-SA"/>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5A1F36AF">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一、供应商应具备《中华人民共和国政府采购法》第二十二条规定的条件</w:t>
      </w:r>
    </w:p>
    <w:p w14:paraId="0DFAE9A7">
      <w:pPr>
        <w:numPr>
          <w:ilvl w:val="0"/>
          <w:numId w:val="1"/>
        </w:numPr>
        <w:adjustRightInd w:val="0"/>
        <w:spacing w:line="360" w:lineRule="atLeast"/>
        <w:jc w:val="left"/>
        <w:textAlignment w:val="baseline"/>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4B6CBAEB">
      <w:pPr>
        <w:numPr>
          <w:ilvl w:val="0"/>
          <w:numId w:val="0"/>
        </w:numPr>
        <w:adjustRightInd w:val="0"/>
        <w:spacing w:line="360" w:lineRule="atLeast"/>
        <w:jc w:val="left"/>
        <w:textAlignment w:val="baseline"/>
        <w:rPr>
          <w:rFonts w:ascii="仿宋" w:hAnsi="仿宋" w:eastAsia="仿宋" w:cs="仿宋"/>
          <w:b w:val="0"/>
          <w:bCs/>
          <w:sz w:val="21"/>
          <w:szCs w:val="21"/>
          <w:highlight w:val="none"/>
        </w:rPr>
      </w:pPr>
    </w:p>
    <w:p w14:paraId="710F3B00">
      <w:pPr>
        <w:numPr>
          <w:ilvl w:val="0"/>
          <w:numId w:val="1"/>
        </w:numPr>
        <w:adjustRightInd w:val="0"/>
        <w:spacing w:line="360" w:lineRule="atLeast"/>
        <w:jc w:val="left"/>
        <w:textAlignment w:val="baseline"/>
        <w:rPr>
          <w:rFonts w:ascii="仿宋" w:hAnsi="仿宋" w:eastAsia="仿宋" w:cs="仿宋"/>
          <w:b w:val="0"/>
          <w:bCs/>
          <w:sz w:val="21"/>
          <w:szCs w:val="21"/>
          <w:highlight w:val="none"/>
        </w:rPr>
      </w:pPr>
      <w:r>
        <w:rPr>
          <w:rFonts w:hint="eastAsia" w:ascii="仿宋" w:hAnsi="仿宋" w:eastAsia="仿宋" w:cs="仿宋"/>
          <w:b w:val="0"/>
          <w:bCs/>
          <w:sz w:val="21"/>
          <w:szCs w:val="21"/>
          <w:highlight w:val="none"/>
        </w:rPr>
        <w:t xml:space="preserve">提供可满足履行合同所需设备和专业技术能力的证明材料或承诺 </w:t>
      </w:r>
    </w:p>
    <w:p w14:paraId="16AB072F">
      <w:pPr>
        <w:numPr>
          <w:ilvl w:val="0"/>
          <w:numId w:val="0"/>
        </w:numPr>
        <w:adjustRightInd w:val="0"/>
        <w:spacing w:line="360" w:lineRule="atLeast"/>
        <w:jc w:val="left"/>
        <w:textAlignment w:val="baseline"/>
        <w:rPr>
          <w:rFonts w:ascii="仿宋" w:hAnsi="仿宋" w:eastAsia="仿宋" w:cs="仿宋"/>
          <w:b w:val="0"/>
          <w:bCs/>
          <w:sz w:val="21"/>
          <w:szCs w:val="21"/>
          <w:highlight w:val="none"/>
        </w:rPr>
      </w:pPr>
    </w:p>
    <w:p w14:paraId="1DF35E37">
      <w:pPr>
        <w:numPr>
          <w:ilvl w:val="0"/>
          <w:numId w:val="1"/>
        </w:numPr>
        <w:adjustRightInd w:val="0"/>
        <w:spacing w:line="360" w:lineRule="atLeast"/>
        <w:jc w:val="left"/>
        <w:textAlignment w:val="baseline"/>
        <w:rPr>
          <w:rFonts w:ascii="仿宋" w:hAnsi="仿宋" w:eastAsia="仿宋" w:cs="仿宋"/>
          <w:b w:val="0"/>
          <w:bCs/>
          <w:sz w:val="21"/>
          <w:szCs w:val="21"/>
          <w:highlight w:val="none"/>
        </w:rPr>
      </w:pPr>
      <w:r>
        <w:rPr>
          <w:rFonts w:hint="eastAsia" w:ascii="仿宋" w:hAnsi="仿宋" w:eastAsia="仿宋" w:cs="仿宋"/>
          <w:b w:val="0"/>
          <w:bCs/>
          <w:sz w:val="21"/>
          <w:szCs w:val="21"/>
          <w:highlight w:val="none"/>
        </w:rPr>
        <w:t xml:space="preserve">提供投标截止时间前近六个月中至少一个月的纳税证明或完税证明，依法免税的单位应提供相关证明材料；时间以税款所属时期为准 </w:t>
      </w:r>
    </w:p>
    <w:p w14:paraId="0038B7AD">
      <w:pPr>
        <w:numPr>
          <w:ilvl w:val="0"/>
          <w:numId w:val="0"/>
        </w:numPr>
        <w:adjustRightInd w:val="0"/>
        <w:spacing w:line="360" w:lineRule="atLeast"/>
        <w:jc w:val="left"/>
        <w:textAlignment w:val="baseline"/>
        <w:rPr>
          <w:rFonts w:ascii="仿宋" w:hAnsi="仿宋" w:eastAsia="仿宋" w:cs="仿宋"/>
          <w:b w:val="0"/>
          <w:bCs/>
          <w:sz w:val="21"/>
          <w:szCs w:val="21"/>
          <w:highlight w:val="none"/>
        </w:rPr>
      </w:pPr>
    </w:p>
    <w:p w14:paraId="144C6844">
      <w:pPr>
        <w:numPr>
          <w:ilvl w:val="0"/>
          <w:numId w:val="1"/>
        </w:numPr>
        <w:adjustRightInd w:val="0"/>
        <w:spacing w:line="360" w:lineRule="atLeast"/>
        <w:jc w:val="left"/>
        <w:textAlignment w:val="baseline"/>
        <w:rPr>
          <w:rFonts w:ascii="仿宋" w:hAnsi="仿宋" w:eastAsia="仿宋" w:cs="仿宋"/>
          <w:b w:val="0"/>
          <w:bCs/>
          <w:sz w:val="21"/>
          <w:szCs w:val="21"/>
          <w:highlight w:val="none"/>
        </w:rPr>
      </w:pPr>
      <w:r>
        <w:rPr>
          <w:rFonts w:hint="eastAsia" w:ascii="仿宋" w:hAnsi="仿宋" w:eastAsia="仿宋" w:cs="仿宋"/>
          <w:b w:val="0"/>
          <w:bCs/>
          <w:sz w:val="21"/>
          <w:szCs w:val="21"/>
          <w:highlight w:val="none"/>
        </w:rPr>
        <w:t xml:space="preserve">提供投标截止时间前近六个月中至少一个月的社会保障资金缴存单据或社保机构开具的社会保险参保缴费情况证明，依法不需要缴纳社会保障资金的单位应提供相关证明材料。 </w:t>
      </w:r>
    </w:p>
    <w:p w14:paraId="2569EC62">
      <w:pPr>
        <w:numPr>
          <w:ilvl w:val="0"/>
          <w:numId w:val="0"/>
        </w:numPr>
        <w:adjustRightInd w:val="0"/>
        <w:spacing w:line="360" w:lineRule="atLeast"/>
        <w:jc w:val="left"/>
        <w:textAlignment w:val="baseline"/>
        <w:rPr>
          <w:rFonts w:ascii="仿宋" w:hAnsi="仿宋" w:eastAsia="仿宋" w:cs="仿宋"/>
          <w:b w:val="0"/>
          <w:bCs/>
          <w:sz w:val="21"/>
          <w:szCs w:val="21"/>
          <w:highlight w:val="none"/>
        </w:rPr>
      </w:pPr>
    </w:p>
    <w:p w14:paraId="0C8A6BB2">
      <w:pPr>
        <w:numPr>
          <w:ilvl w:val="0"/>
          <w:numId w:val="0"/>
        </w:numPr>
        <w:adjustRightInd w:val="0"/>
        <w:spacing w:line="360" w:lineRule="atLeast"/>
        <w:jc w:val="left"/>
        <w:textAlignment w:val="baseline"/>
        <w:rPr>
          <w:rFonts w:ascii="仿宋" w:hAnsi="仿宋" w:eastAsia="仿宋" w:cs="仿宋"/>
          <w:b w:val="0"/>
          <w:bCs/>
          <w:sz w:val="21"/>
          <w:szCs w:val="21"/>
          <w:highlight w:val="none"/>
        </w:rPr>
      </w:pPr>
    </w:p>
    <w:p w14:paraId="7BB54E65">
      <w:pPr>
        <w:numPr>
          <w:ilvl w:val="0"/>
          <w:numId w:val="1"/>
        </w:numPr>
        <w:adjustRightInd w:val="0"/>
        <w:spacing w:line="360" w:lineRule="atLeast"/>
        <w:jc w:val="left"/>
        <w:textAlignment w:val="baseline"/>
        <w:rPr>
          <w:rFonts w:ascii="仿宋" w:hAnsi="仿宋" w:eastAsia="仿宋" w:cs="仿宋"/>
          <w:b w:val="0"/>
          <w:bCs/>
          <w:sz w:val="21"/>
          <w:szCs w:val="21"/>
          <w:highlight w:val="none"/>
        </w:rPr>
      </w:pPr>
      <w:r>
        <w:rPr>
          <w:rFonts w:hint="eastAsia" w:ascii="仿宋" w:hAnsi="仿宋" w:eastAsia="仿宋" w:cs="仿宋"/>
          <w:b w:val="0"/>
          <w:bCs/>
          <w:sz w:val="21"/>
          <w:szCs w:val="21"/>
          <w:highlight w:val="none"/>
        </w:rPr>
        <w:t>提供有效的参加政府采购活动前3年内在经营活动中没有重大违法记录的书面声明。</w:t>
      </w:r>
    </w:p>
    <w:p w14:paraId="59B426C6">
      <w:pPr>
        <w:rPr>
          <w:rFonts w:ascii="仿宋" w:hAnsi="仿宋" w:eastAsia="仿宋" w:cs="仿宋"/>
          <w:szCs w:val="21"/>
        </w:rPr>
      </w:pPr>
      <w:r>
        <w:rPr>
          <w:rFonts w:ascii="仿宋" w:hAnsi="仿宋" w:eastAsia="仿宋" w:cs="仿宋"/>
          <w:szCs w:val="21"/>
        </w:rPr>
        <w:br w:type="page"/>
      </w:r>
    </w:p>
    <w:p w14:paraId="4BB1231E">
      <w:pPr>
        <w:numPr>
          <w:ilvl w:val="0"/>
          <w:numId w:val="2"/>
        </w:numPr>
        <w:jc w:val="both"/>
        <w:rPr>
          <w:rFonts w:hint="eastAsia"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供应商应提供健全的财务会计制度的证明材料；</w:t>
      </w:r>
    </w:p>
    <w:p w14:paraId="487A04C6">
      <w:pPr>
        <w:numPr>
          <w:ilvl w:val="0"/>
          <w:numId w:val="0"/>
        </w:numPr>
        <w:jc w:val="both"/>
        <w:rPr>
          <w:rFonts w:ascii="仿宋_GB2312" w:hAnsi="仿宋_GB2312" w:eastAsia="仿宋_GB2312" w:cs="仿宋_GB2312"/>
          <w:color w:val="auto"/>
        </w:rPr>
      </w:pPr>
      <w:r>
        <w:rPr>
          <w:rFonts w:ascii="仿宋_GB2312" w:hAnsi="仿宋_GB2312" w:eastAsia="仿宋_GB2312" w:cs="仿宋_GB2312"/>
          <w:color w:val="auto"/>
        </w:rPr>
        <w:t>提供（1）或提供（2）：（1）提供递交</w:t>
      </w:r>
      <w:r>
        <w:rPr>
          <w:rFonts w:hint="eastAsia" w:ascii="仿宋_GB2312" w:hAnsi="仿宋_GB2312" w:eastAsia="仿宋_GB2312" w:cs="仿宋_GB2312"/>
          <w:color w:val="auto"/>
          <w:lang w:eastAsia="zh-CN"/>
        </w:rPr>
        <w:t>响应文件</w:t>
      </w:r>
      <w:r>
        <w:rPr>
          <w:rFonts w:ascii="仿宋_GB2312" w:hAnsi="仿宋_GB2312" w:eastAsia="仿宋_GB2312" w:cs="仿宋_GB2312"/>
          <w:color w:val="auto"/>
        </w:rPr>
        <w:t>截止之日前两年内任意一个年度经审计的财务报告，应满足以下要求：①</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w:t>
      </w:r>
      <w:r>
        <w:rPr>
          <w:rFonts w:ascii="仿宋_GB2312" w:hAnsi="仿宋_GB2312" w:eastAsia="仿宋_GB2312" w:cs="仿宋_GB2312"/>
          <w:color w:val="0000FF"/>
        </w:rPr>
        <w:t>统一监管平台备案赋码</w:t>
      </w:r>
      <w:r>
        <w:rPr>
          <w:rFonts w:ascii="仿宋_GB2312" w:hAnsi="仿宋_GB2312" w:eastAsia="仿宋_GB2312" w:cs="仿宋_GB2312"/>
          <w:color w:val="auto"/>
        </w:rPr>
        <w:t>。②</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lang w:eastAsia="zh-CN"/>
        </w:rPr>
        <w:t>响应文件</w:t>
      </w:r>
      <w:r>
        <w:rPr>
          <w:rFonts w:ascii="仿宋_GB2312" w:hAnsi="仿宋_GB2312" w:eastAsia="仿宋_GB2312" w:cs="仿宋_GB2312"/>
          <w:color w:val="auto"/>
        </w:rPr>
        <w:t>截止时间前三个月内由</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开户银行出具。②无论开具银行是否标明“复印无效”，</w:t>
      </w:r>
      <w:r>
        <w:rPr>
          <w:rFonts w:hint="eastAsia" w:ascii="仿宋_GB2312" w:hAnsi="仿宋_GB2312" w:eastAsia="仿宋_GB2312" w:cs="仿宋_GB2312"/>
          <w:color w:val="auto"/>
          <w:lang w:eastAsia="zh-CN"/>
        </w:rPr>
        <w:t>供应商</w:t>
      </w:r>
      <w:r>
        <w:rPr>
          <w:rFonts w:ascii="仿宋_GB2312" w:hAnsi="仿宋_GB2312" w:eastAsia="仿宋_GB2312" w:cs="仿宋_GB2312"/>
          <w:color w:val="auto"/>
        </w:rPr>
        <w:t>提供的复印件在本次投标中予以认可（即不因“复印无效”字样而认定资信证明复印件无效）。③银行出具的存款证明不能替代银行资信证明。</w:t>
      </w:r>
    </w:p>
    <w:p w14:paraId="5906729F">
      <w:pPr>
        <w:rPr>
          <w:rFonts w:ascii="仿宋_GB2312" w:hAnsi="仿宋_GB2312" w:eastAsia="仿宋_GB2312" w:cs="仿宋_GB2312"/>
          <w:color w:val="auto"/>
        </w:rPr>
      </w:pPr>
      <w:r>
        <w:rPr>
          <w:rFonts w:ascii="仿宋_GB2312" w:hAnsi="仿宋_GB2312" w:eastAsia="仿宋_GB2312" w:cs="仿宋_GB2312"/>
          <w:color w:val="auto"/>
        </w:rPr>
        <w:br w:type="page"/>
      </w:r>
    </w:p>
    <w:p w14:paraId="2641A302">
      <w:pPr>
        <w:numPr>
          <w:ilvl w:val="0"/>
          <w:numId w:val="2"/>
        </w:numPr>
        <w:jc w:val="both"/>
        <w:rPr>
          <w:rFonts w:hint="eastAsia"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供应商特定资格条件</w:t>
      </w:r>
    </w:p>
    <w:p w14:paraId="0B65CAD5">
      <w:pPr>
        <w:numPr>
          <w:ilvl w:val="0"/>
          <w:numId w:val="0"/>
        </w:numPr>
        <w:ind w:firstLine="420" w:firstLineChars="200"/>
        <w:jc w:val="both"/>
        <w:rPr>
          <w:rFonts w:hint="eastAsia" w:ascii="黑体" w:hAnsi="黑体" w:eastAsia="仿宋_GB2312" w:cs="黑体"/>
          <w:b w:val="0"/>
          <w:bCs w:val="0"/>
          <w:color w:val="1F4E79"/>
          <w:kern w:val="2"/>
          <w:sz w:val="24"/>
          <w:szCs w:val="28"/>
          <w:lang w:val="en-US" w:eastAsia="zh-CN" w:bidi="ar-SA"/>
        </w:rPr>
      </w:pPr>
      <w:r>
        <w:rPr>
          <w:rFonts w:ascii="仿宋_GB2312" w:hAnsi="仿宋_GB2312" w:eastAsia="仿宋_GB2312" w:cs="仿宋_GB2312"/>
          <w:color w:val="auto"/>
        </w:rPr>
        <w:t>供应商在递交响应文件截止时间前被“信用中国 ” 网站（www.creditchina.gov.cn）和中国政 府采购网（www.ccgp.gov.cn）上被列入失信 被执行人、重大税收违法失信主体、政府采购 严重违法失信行为记录名单的，不得参加</w:t>
      </w:r>
      <w:r>
        <w:rPr>
          <w:rFonts w:hint="eastAsia" w:ascii="仿宋_GB2312" w:hAnsi="仿宋_GB2312" w:eastAsia="仿宋_GB2312" w:cs="仿宋_GB2312"/>
          <w:color w:val="auto"/>
          <w:lang w:val="en-US" w:eastAsia="zh-CN"/>
        </w:rPr>
        <w:t>磋商。</w:t>
      </w:r>
    </w:p>
    <w:p w14:paraId="29E395B6">
      <w:pPr>
        <w:numPr>
          <w:ilvl w:val="0"/>
          <w:numId w:val="0"/>
        </w:numPr>
        <w:ind w:leftChars="0"/>
        <w:jc w:val="both"/>
        <w:rPr>
          <w:rFonts w:hint="eastAsia" w:ascii="黑体" w:hAnsi="黑体" w:eastAsia="黑体" w:cs="黑体"/>
          <w:b w:val="0"/>
          <w:bCs w:val="0"/>
          <w:color w:val="1F4E79"/>
          <w:kern w:val="2"/>
          <w:sz w:val="24"/>
          <w:szCs w:val="28"/>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245C2"/>
    <w:multiLevelType w:val="singleLevel"/>
    <w:tmpl w:val="2D5245C2"/>
    <w:lvl w:ilvl="0" w:tentative="0">
      <w:start w:val="2"/>
      <w:numFmt w:val="chineseCounting"/>
      <w:suff w:val="nothing"/>
      <w:lvlText w:val="%1、"/>
      <w:lvlJc w:val="left"/>
      <w:rPr>
        <w:rFonts w:hint="eastAsia"/>
      </w:rPr>
    </w:lvl>
  </w:abstractNum>
  <w:abstractNum w:abstractNumId="1">
    <w:nsid w:val="3DA0E45F"/>
    <w:multiLevelType w:val="singleLevel"/>
    <w:tmpl w:val="3DA0E45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4629227B"/>
    <w:rsid w:val="5507575D"/>
    <w:rsid w:val="5A4F3024"/>
    <w:rsid w:val="64875E36"/>
    <w:rsid w:val="67837FDA"/>
    <w:rsid w:val="7C514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1285</Words>
  <Characters>1324</Characters>
  <Lines>0</Lines>
  <Paragraphs>0</Paragraphs>
  <TotalTime>0</TotalTime>
  <ScaleCrop>false</ScaleCrop>
  <LinksUpToDate>false</LinksUpToDate>
  <CharactersWithSpaces>1335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赵锦天</cp:lastModifiedBy>
  <dcterms:modified xsi:type="dcterms:W3CDTF">2025-05-22T00:16:51Z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