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版本号：BCMG2025-00220250522001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特殊教育学校绿蕴课程体系特色课程建设项目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BCMG2025-002</w:t>
      </w:r>
      <w:r>
        <w:br/>
      </w:r>
      <w:r>
        <w:br/>
      </w:r>
      <w:r>
        <w:br/>
      </w:r>
    </w:p>
    <w:p>
      <w:pPr>
        <w:pStyle w:val="null3"/>
        <w:jc w:val="center"/>
        <w:outlineLvl w:val="2"/>
      </w:pPr>
      <w:r>
        <w:rPr>
          <w:rFonts w:ascii="仿宋_GB2312" w:hAnsi="仿宋_GB2312" w:cs="仿宋_GB2312" w:eastAsia="仿宋_GB2312"/>
          <w:sz w:val="28"/>
          <w:b/>
        </w:rPr>
        <w:t>西安市第二聋哑学校</w:t>
      </w:r>
    </w:p>
    <w:p>
      <w:pPr>
        <w:pStyle w:val="null3"/>
        <w:jc w:val="center"/>
        <w:outlineLvl w:val="2"/>
      </w:pPr>
      <w:r>
        <w:rPr>
          <w:rFonts w:ascii="仿宋_GB2312" w:hAnsi="仿宋_GB2312" w:cs="仿宋_GB2312" w:eastAsia="仿宋_GB2312"/>
          <w:sz w:val="28"/>
          <w:b/>
        </w:rPr>
        <w:t>陕西北辰明光项目管理有限公司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陕西北辰明光项目管理有限公司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西安市第二聋哑学校</w:t>
      </w:r>
      <w:r>
        <w:rPr>
          <w:rFonts w:ascii="仿宋_GB2312" w:hAnsi="仿宋_GB2312" w:cs="仿宋_GB2312" w:eastAsia="仿宋_GB2312"/>
        </w:rPr>
        <w:t>委托，拟对</w:t>
      </w:r>
      <w:r>
        <w:rPr>
          <w:rFonts w:ascii="仿宋_GB2312" w:hAnsi="仿宋_GB2312" w:cs="仿宋_GB2312" w:eastAsia="仿宋_GB2312"/>
        </w:rPr>
        <w:t>特殊教育学校绿蕴课程体系特色课程建设项目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BCMG2025-002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特殊教育学校绿蕴课程体系特色课程建设项目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西安市第二聋哑学校特殊教育学校绿蕴课程体系特色课程建设项目，具体详见采购文件第三章。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采购包1（西安市第二聋哑学校特殊教育学校绿蕴课程体系特色课程建设项目）：属于专门面向中小企业采购。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1、营业执照等主体资格证明文件：提供有效存续的企业营业执照（副本）/事业单位法人证书/专业服务机构执业许可证/民办非企业单位登记证书。自然人参与的提供身份证明；</w:t>
      </w:r>
    </w:p>
    <w:p>
      <w:pPr>
        <w:pStyle w:val="null3"/>
      </w:pPr>
      <w:r>
        <w:rPr>
          <w:rFonts w:ascii="仿宋_GB2312" w:hAnsi="仿宋_GB2312" w:cs="仿宋_GB2312" w:eastAsia="仿宋_GB2312"/>
        </w:rPr>
        <w:t>2、授权书：提供法定代表人授权书（附法定代表人、被授权人身份证复印件）及被授权人身份证原件（法定代表人直接参加投标，须提供法定代表人身份证明及身份证原件）；</w:t>
      </w:r>
    </w:p>
    <w:p>
      <w:pPr>
        <w:pStyle w:val="null3"/>
      </w:pPr>
      <w:r>
        <w:rPr>
          <w:rFonts w:ascii="仿宋_GB2312" w:hAnsi="仿宋_GB2312" w:cs="仿宋_GB2312" w:eastAsia="仿宋_GB2312"/>
        </w:rPr>
        <w:t>3、财务状况报告：提供2023年度或2024年度完整版的财务审计报告，成立时间至提交投标文件截止时间不足一年的可提供成立后任意时段的资产负债表，或投标时间前六个月内基本账户银行出具的资信证明；</w:t>
      </w:r>
    </w:p>
    <w:p>
      <w:pPr>
        <w:pStyle w:val="null3"/>
      </w:pPr>
      <w:r>
        <w:rPr>
          <w:rFonts w:ascii="仿宋_GB2312" w:hAnsi="仿宋_GB2312" w:cs="仿宋_GB2312" w:eastAsia="仿宋_GB2312"/>
        </w:rPr>
        <w:t>4、税收缴纳证明：提供投标截止之日前一年内已缴纳的至少三个月的纳税证明或完税证明（任意税种），依法免税的单位应提供相关证明材料；</w:t>
      </w:r>
    </w:p>
    <w:p>
      <w:pPr>
        <w:pStyle w:val="null3"/>
      </w:pPr>
      <w:r>
        <w:rPr>
          <w:rFonts w:ascii="仿宋_GB2312" w:hAnsi="仿宋_GB2312" w:cs="仿宋_GB2312" w:eastAsia="仿宋_GB2312"/>
        </w:rPr>
        <w:t>5、社会保障资金缴纳证明：提供投标截止之日前一年内已缴存的至少三个月的社会保障资金缴存单据或社保机构开具的社会保险参保缴费情况证明，依法不需要缴纳社会保障资金的单位应提供相关证明材料；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6、专业技术能力说明：提供具有履行本合同所必需的设备和专业技术能力的说明及承诺书；</w:t>
      </w:r>
    </w:p>
    <w:p>
      <w:pPr>
        <w:pStyle w:val="null3"/>
      </w:pPr>
      <w:r>
        <w:rPr>
          <w:rFonts w:ascii="仿宋_GB2312" w:hAnsi="仿宋_GB2312" w:cs="仿宋_GB2312" w:eastAsia="仿宋_GB2312"/>
        </w:rPr>
        <w:t>7、信用记录：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投标人无须提供，投标现场查询）；</w:t>
      </w:r>
    </w:p>
    <w:p>
      <w:pPr>
        <w:pStyle w:val="null3"/>
      </w:pPr>
      <w:r>
        <w:rPr>
          <w:rFonts w:ascii="仿宋_GB2312" w:hAnsi="仿宋_GB2312" w:cs="仿宋_GB2312" w:eastAsia="仿宋_GB2312"/>
        </w:rPr>
        <w:t>8、无重大违法说明：参加政府采购活动前3年内，在经营活动中没有重大违法记录的书面声明；</w:t>
      </w:r>
    </w:p>
    <w:p>
      <w:pPr>
        <w:pStyle w:val="null3"/>
      </w:pPr>
      <w:r>
        <w:rPr>
          <w:rFonts w:ascii="仿宋_GB2312" w:hAnsi="仿宋_GB2312" w:cs="仿宋_GB2312" w:eastAsia="仿宋_GB2312"/>
        </w:rPr>
        <w:t>9、联合体承诺书：本项目不接受联合体投标。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西安市第二聋哑学校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西安市咸宁中路西段复聪路1号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029-83230810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陕西北辰明光项目管理有限公司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陕西省西安市莲湖区青年路111号止园饭店综合楼六楼601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15596190006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服务费参照《国家计委关于印发&lt;招标代理服务收费管理暂行办法&gt;的通知》（计价格[2002]1980号）和国家发展和改革委员会办公厅颁发的《关于招标代理服务收费有关问题的通知》（发改办价格[2003]857号）规定标准收取，按照代理协议约定以中标金额为基数，由中标（成交）人支付。 2、支付方式：成交供应商应在领取通知书的同时，支付本项目代理服务费。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西安市第二聋哑学校</w:t>
      </w:r>
      <w:r>
        <w:rPr>
          <w:rFonts w:ascii="仿宋_GB2312" w:hAnsi="仿宋_GB2312" w:cs="仿宋_GB2312" w:eastAsia="仿宋_GB2312"/>
        </w:rPr>
        <w:t>和</w:t>
      </w:r>
      <w:r>
        <w:rPr>
          <w:rFonts w:ascii="仿宋_GB2312" w:hAnsi="仿宋_GB2312" w:cs="仿宋_GB2312" w:eastAsia="仿宋_GB2312"/>
        </w:rPr>
        <w:t>陕西北辰明光项目管理有限公司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西安市第二聋哑学校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陕西北辰明光项目管理有限公司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西安市第二聋哑学校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陕西北辰明光项目管理有限公司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根据磋商文件、磋商响应文件、合同及国家相关标准。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陕西北辰明光项目管理有限公司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陕西北辰明光项目管理有限公司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陕西北辰明光项目管理有限公司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联系电话：15596190006</w:t>
      </w:r>
    </w:p>
    <w:p>
      <w:pPr>
        <w:pStyle w:val="null3"/>
      </w:pPr>
      <w:r>
        <w:rPr>
          <w:rFonts w:ascii="仿宋_GB2312" w:hAnsi="仿宋_GB2312" w:cs="仿宋_GB2312" w:eastAsia="仿宋_GB2312"/>
        </w:rPr>
        <w:t>地址：陕西省西安市莲湖区青年路111号止园饭店综合楼六楼601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西安市第二聋哑学校特殊教育学校绿蕴课程体系特色课程建设项目，具体详见采购文件第三章。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特殊教育学校绿蕴课程体系特色课程建设项目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标的名称：特殊教育学校绿蕴课程体系特色课程建设项目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60" w:after="60"/>
              <w:ind w:firstLine="402"/>
              <w:jc w:val="both"/>
            </w:pPr>
            <w:r>
              <w:rPr>
                <w:rFonts w:ascii="仿宋_GB2312" w:hAnsi="仿宋_GB2312" w:cs="仿宋_GB2312" w:eastAsia="仿宋_GB2312"/>
                <w:sz w:val="20"/>
                <w:b/>
                <w:color w:val="0000FF"/>
              </w:rPr>
              <w:t>一、项目概括</w:t>
            </w:r>
          </w:p>
          <w:p>
            <w:pPr>
              <w:pStyle w:val="null3"/>
              <w:spacing w:before="60" w:after="60"/>
              <w:ind w:firstLine="400"/>
              <w:jc w:val="both"/>
            </w:pPr>
            <w:r>
              <w:rPr>
                <w:rFonts w:ascii="仿宋_GB2312" w:hAnsi="仿宋_GB2312" w:cs="仿宋_GB2312" w:eastAsia="仿宋_GB2312"/>
                <w:sz w:val="20"/>
                <w:color w:val="0000FF"/>
              </w:rPr>
              <w:t>西安市第二聋哑学校致力于推动本校特殊教育的高质量发展。在教育公平理念日益深入人心的背景下，特殊教育作为教育体系的关键一环，其发展水平直接影响着学校整体的教育质量和社会的文明程度。然而，当前我国特殊教育学校在课程设置、教学方法及师资力量等方面仍面临诸多挑战，难以满足特殊学生日益增长的多样化、个性化学习需求。因此，西安市第二聋哑学校积极响应国家号召，迫切需要构建一套契合特殊学生身心发展特征、能够有效促进其全面发展的绿蕴课程体系。本项目致力于通过引入前沿的教育理念和技术手段，精心打造一套既具创新性又具实用性的特殊教育特色课程体系，以期提升特殊教育学校的教学质量和效果，为特殊学生的成长和发展提供更加坚实有力的支持和保障。</w:t>
            </w:r>
          </w:p>
          <w:p>
            <w:pPr>
              <w:pStyle w:val="null3"/>
              <w:spacing w:before="60" w:after="60"/>
              <w:ind w:firstLine="402"/>
              <w:jc w:val="both"/>
            </w:pPr>
            <w:r>
              <w:rPr>
                <w:rFonts w:ascii="仿宋_GB2312" w:hAnsi="仿宋_GB2312" w:cs="仿宋_GB2312" w:eastAsia="仿宋_GB2312"/>
                <w:sz w:val="20"/>
                <w:b/>
                <w:color w:val="0000FF"/>
              </w:rPr>
              <w:t>二、项目</w:t>
            </w:r>
            <w:r>
              <w:rPr>
                <w:rFonts w:ascii="仿宋_GB2312" w:hAnsi="仿宋_GB2312" w:cs="仿宋_GB2312" w:eastAsia="仿宋_GB2312"/>
                <w:sz w:val="20"/>
                <w:b/>
                <w:color w:val="0000FF"/>
              </w:rPr>
              <w:t>服务</w:t>
            </w:r>
            <w:r>
              <w:rPr>
                <w:rFonts w:ascii="仿宋_GB2312" w:hAnsi="仿宋_GB2312" w:cs="仿宋_GB2312" w:eastAsia="仿宋_GB2312"/>
                <w:sz w:val="20"/>
                <w:b/>
                <w:color w:val="0000FF"/>
              </w:rPr>
              <w:t>内容</w:t>
            </w:r>
            <w:r>
              <w:rPr>
                <w:rFonts w:ascii="仿宋_GB2312" w:hAnsi="仿宋_GB2312" w:cs="仿宋_GB2312" w:eastAsia="仿宋_GB2312"/>
                <w:sz w:val="20"/>
                <w:b/>
                <w:color w:val="0000FF"/>
              </w:rPr>
              <w:t>：</w:t>
            </w:r>
          </w:p>
          <w:p>
            <w:pPr>
              <w:pStyle w:val="null3"/>
              <w:spacing w:before="60" w:after="60"/>
              <w:ind w:firstLine="400"/>
              <w:jc w:val="both"/>
            </w:pPr>
            <w:r>
              <w:rPr>
                <w:rFonts w:ascii="仿宋_GB2312" w:hAnsi="仿宋_GB2312" w:cs="仿宋_GB2312" w:eastAsia="仿宋_GB2312"/>
                <w:sz w:val="20"/>
                <w:color w:val="0000FF"/>
              </w:rPr>
              <w:t>1、整体教学设计：根据特殊学生的认知特点和学习需求，设计并开发一系列具有针对性的特色课程，包括基础型、拓展型和特色型课程等多元化课程内容。同时，注重课程之间的衔接和融合，形成一个完整的课程体系。</w:t>
            </w:r>
          </w:p>
          <w:p>
            <w:pPr>
              <w:pStyle w:val="null3"/>
              <w:spacing w:before="60" w:after="60"/>
              <w:ind w:firstLine="400"/>
              <w:jc w:val="both"/>
            </w:pPr>
            <w:r>
              <w:rPr>
                <w:rFonts w:ascii="仿宋_GB2312" w:hAnsi="仿宋_GB2312" w:cs="仿宋_GB2312" w:eastAsia="仿宋_GB2312"/>
                <w:sz w:val="20"/>
                <w:color w:val="0000FF"/>
              </w:rPr>
              <w:t>2、实地调研与课程体系构建：整合国家课程、地方课程、校本课程，盘活相关资源，立足学情、校情，提出“绿色成长，成就更好的自我”办学理念，以“五育并举”作为学校课程育人实践的触发点，探索课程体系设计与研究，形成“绿蕴教育”课程体系。</w:t>
            </w:r>
          </w:p>
          <w:p>
            <w:pPr>
              <w:pStyle w:val="null3"/>
              <w:spacing w:before="60" w:after="60"/>
              <w:ind w:firstLine="400"/>
              <w:jc w:val="both"/>
            </w:pPr>
            <w:r>
              <w:rPr>
                <w:rFonts w:ascii="仿宋_GB2312" w:hAnsi="仿宋_GB2312" w:cs="仿宋_GB2312" w:eastAsia="仿宋_GB2312"/>
                <w:sz w:val="20"/>
                <w:color w:val="0000FF"/>
              </w:rPr>
              <w:t>3、视频录制：在开足开齐基础课程的基础上，发挥校内校外资源优势，根据不同年龄学段听障学生的特点，开发出拓展课程，并形成视频集。视频内容需清晰、完整，能够准确传达课程内容。每个年龄段（如小学、初中、高中）至少录制5门拓展课程，每门课程视频时长不少于30分钟。</w:t>
            </w:r>
          </w:p>
          <w:p>
            <w:pPr>
              <w:pStyle w:val="null3"/>
              <w:spacing w:before="60" w:after="60"/>
              <w:ind w:firstLine="400"/>
              <w:jc w:val="both"/>
            </w:pPr>
            <w:r>
              <w:rPr>
                <w:rFonts w:ascii="仿宋_GB2312" w:hAnsi="仿宋_GB2312" w:cs="仿宋_GB2312" w:eastAsia="仿宋_GB2312"/>
                <w:sz w:val="20"/>
                <w:color w:val="0000FF"/>
              </w:rPr>
              <w:t>4、课例撰写：在已形成课程的基础之上，进行配套课例撰写，编撰内容包括课程体系手册、教学方法指南等，确保内容完整、结构清晰，形成“人文底蕴、言语交往，数理基础、科学探索，音乐、美术、思想品德、行为习惯、身心健康、生涯规划、口语沟通、树立自信”十二个课程群的课例集。课例需具有实用性和可操作性，能够满足特殊学生的学习需求。每个课程群至少撰写3个课例，每个课例字数不少于2000字。</w:t>
            </w:r>
          </w:p>
          <w:p>
            <w:pPr>
              <w:pStyle w:val="null3"/>
              <w:spacing w:before="60" w:after="60"/>
              <w:ind w:firstLine="400"/>
              <w:jc w:val="both"/>
            </w:pPr>
            <w:r>
              <w:rPr>
                <w:rFonts w:ascii="仿宋_GB2312" w:hAnsi="仿宋_GB2312" w:cs="仿宋_GB2312" w:eastAsia="仿宋_GB2312"/>
                <w:sz w:val="20"/>
                <w:color w:val="0000FF"/>
              </w:rPr>
              <w:t>5、推广使用：在本校进行深入践行，并在兄弟学校进行推广使用。在本校推广时，至少组织2次教师交流活动，每次活动不少于50名教师。在兄弟学校推广时，至少组织1次区域性的教师交流活动，活动人数不少于50名教师。同时，提供必要的技术支持和后续跟进服务，确保课程体系的顺利实施。</w:t>
            </w:r>
          </w:p>
          <w:p>
            <w:pPr>
              <w:pStyle w:val="null3"/>
              <w:spacing w:before="60" w:after="60"/>
              <w:ind w:firstLine="402"/>
              <w:jc w:val="both"/>
            </w:pPr>
            <w:r>
              <w:rPr>
                <w:rFonts w:ascii="仿宋_GB2312" w:hAnsi="仿宋_GB2312" w:cs="仿宋_GB2312" w:eastAsia="仿宋_GB2312"/>
                <w:sz w:val="20"/>
                <w:b/>
                <w:color w:val="0000FF"/>
              </w:rPr>
              <w:t>三、技术要求</w:t>
            </w:r>
            <w:r>
              <w:rPr>
                <w:rFonts w:ascii="仿宋_GB2312" w:hAnsi="仿宋_GB2312" w:cs="仿宋_GB2312" w:eastAsia="仿宋_GB2312"/>
                <w:sz w:val="20"/>
                <w:b/>
                <w:color w:val="0000FF"/>
              </w:rPr>
              <w:t>：</w:t>
            </w:r>
          </w:p>
          <w:p>
            <w:pPr>
              <w:pStyle w:val="null3"/>
              <w:spacing w:before="60" w:after="60"/>
              <w:ind w:firstLine="400"/>
              <w:jc w:val="both"/>
            </w:pPr>
            <w:r>
              <w:rPr>
                <w:rFonts w:ascii="仿宋_GB2312" w:hAnsi="仿宋_GB2312" w:cs="仿宋_GB2312" w:eastAsia="仿宋_GB2312"/>
                <w:sz w:val="20"/>
                <w:color w:val="0000FF"/>
              </w:rPr>
              <w:t>1、教学设计技术要求</w:t>
            </w:r>
          </w:p>
          <w:p>
            <w:pPr>
              <w:pStyle w:val="null3"/>
              <w:spacing w:before="60" w:after="60"/>
              <w:ind w:firstLine="400"/>
              <w:jc w:val="both"/>
            </w:pPr>
            <w:r>
              <w:rPr>
                <w:rFonts w:ascii="仿宋_GB2312" w:hAnsi="仿宋_GB2312" w:cs="仿宋_GB2312" w:eastAsia="仿宋_GB2312"/>
                <w:sz w:val="20"/>
                <w:color w:val="0000FF"/>
              </w:rPr>
              <w:t>采用先进的教育理念和技术手段，确保课程设计的创新性和实用性。课程内容需符合特殊学生的身心发展特点，促进其全面发展。</w:t>
            </w:r>
          </w:p>
          <w:p>
            <w:pPr>
              <w:pStyle w:val="null3"/>
              <w:spacing w:before="60" w:after="60"/>
              <w:ind w:firstLine="400"/>
              <w:jc w:val="both"/>
            </w:pPr>
            <w:r>
              <w:rPr>
                <w:rFonts w:ascii="仿宋_GB2312" w:hAnsi="仿宋_GB2312" w:cs="仿宋_GB2312" w:eastAsia="仿宋_GB2312"/>
                <w:sz w:val="20"/>
                <w:color w:val="0000FF"/>
              </w:rPr>
              <w:t>2、视频录制技术要求</w:t>
            </w:r>
          </w:p>
          <w:p>
            <w:pPr>
              <w:pStyle w:val="null3"/>
              <w:spacing w:before="60" w:after="60"/>
              <w:ind w:firstLine="400"/>
              <w:jc w:val="both"/>
            </w:pPr>
            <w:r>
              <w:rPr>
                <w:rFonts w:ascii="仿宋_GB2312" w:hAnsi="仿宋_GB2312" w:cs="仿宋_GB2312" w:eastAsia="仿宋_GB2312"/>
                <w:sz w:val="20"/>
                <w:color w:val="0000FF"/>
              </w:rPr>
              <w:t>使用高质量的录制设备，确保视频画面清晰、音质良好。视频剪辑和后期制作需专业，提高视频的观赏性和教学效果。视频格式需兼容主流播放器，方便教师和学习者观看。</w:t>
            </w:r>
          </w:p>
          <w:p>
            <w:pPr>
              <w:pStyle w:val="null3"/>
              <w:spacing w:before="60" w:after="60"/>
              <w:ind w:firstLine="400"/>
              <w:jc w:val="both"/>
            </w:pPr>
            <w:r>
              <w:rPr>
                <w:rFonts w:ascii="仿宋_GB2312" w:hAnsi="仿宋_GB2312" w:cs="仿宋_GB2312" w:eastAsia="仿宋_GB2312"/>
                <w:sz w:val="20"/>
                <w:color w:val="0000FF"/>
              </w:rPr>
              <w:t>3、课例撰写技术要求</w:t>
            </w:r>
          </w:p>
          <w:p>
            <w:pPr>
              <w:pStyle w:val="null3"/>
              <w:spacing w:before="60" w:after="60"/>
              <w:ind w:firstLine="400"/>
              <w:jc w:val="both"/>
            </w:pPr>
            <w:r>
              <w:rPr>
                <w:rFonts w:ascii="仿宋_GB2312" w:hAnsi="仿宋_GB2312" w:cs="仿宋_GB2312" w:eastAsia="仿宋_GB2312"/>
                <w:sz w:val="20"/>
                <w:color w:val="0000FF"/>
              </w:rPr>
              <w:t>课例需结构清晰，内容完整，符合特殊教育的教学要求。语言表达需准确、简洁，易于特殊学生理解和接受。同时，课例中需包含具体的教学方法和策略，以便教师参考和实施。</w:t>
            </w:r>
          </w:p>
          <w:p>
            <w:pPr>
              <w:pStyle w:val="null3"/>
              <w:spacing w:before="60" w:after="60"/>
              <w:ind w:firstLine="400"/>
              <w:jc w:val="both"/>
            </w:pPr>
            <w:r>
              <w:rPr>
                <w:rFonts w:ascii="仿宋_GB2312" w:hAnsi="仿宋_GB2312" w:cs="仿宋_GB2312" w:eastAsia="仿宋_GB2312"/>
                <w:sz w:val="20"/>
                <w:color w:val="0000FF"/>
              </w:rPr>
              <w:t>4、推广使用技术要求</w:t>
            </w:r>
          </w:p>
          <w:p>
            <w:pPr>
              <w:pStyle w:val="null3"/>
              <w:spacing w:before="60" w:after="60"/>
              <w:ind w:firstLine="400"/>
              <w:jc w:val="both"/>
            </w:pPr>
            <w:r>
              <w:rPr>
                <w:rFonts w:ascii="仿宋_GB2312" w:hAnsi="仿宋_GB2312" w:cs="仿宋_GB2312" w:eastAsia="仿宋_GB2312"/>
                <w:sz w:val="20"/>
                <w:color w:val="0000FF"/>
              </w:rPr>
              <w:t>做好课程体系的宣传和推广工作，提高知名度和影响力。通过官方网站、社交媒体等渠道进行宣传，同时制作宣传册和海报等宣传材料。提供必要的技术支持和活动交流，确保课程体系的顺利实施。设立专门的技术支持团队，为教师和学习者提供咨询和解答服务。同时，定期收集反馈意见，对课程体系进行持续改进和优化。</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根据磋商文件、磋商响应文件、合同及国家相关标准。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自合同签订后，收到服务方开具的等额有效发票后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项目执行进度达到50%且经甲方书面确认后，收到服务方开具的等额有效发票后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项目结束验收合格后，收到服务方开具的等额有效发票后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供应商不能履行合同中规定的各项承诺,采购人有权报请监管部门终止合同,由此造成的损失由供应商承担。 一、违约责任：1、按《民法典》中的相关条款执行。2、除本合同约定，合同一经签订，不得擅自变更、中止或者终止合同。对确需变更、调整或者中止、终止合同的，应按规定履行相应的手续。3、任何一方因不可抗力原因不能履行协议时，应尽快通知对方，双方均设法补偿。如仍无法履约协议，可协商延缓或撤销协议，双方责任免除。 二、解决争议的方法：本合同在履行过程中发生的争议，由甲、乙双方当事人协商解决，协商不成的按下列第2种方式解决：1、提交当地仲裁委员会仲裁；2、依法向甲方所在地人民法院起诉。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1、供应商需要在线提交所有通过电子化交易平台实施的政府采购项目的响应文件，同时，线下提交响应文件正本 壹 份、副本 贰 份、电子版 壹 份（电子版需Word版本、签字盖章扫描后的PDF版本响应文件），装订：纸质版文件采用书籍（胶装）方式装订成册并在书脊处标注项目名称和项目编号，与电子响应一致的签字、盖章的完整版本。 2、线下纸质文件递交截止时间：同在线递交电子响应文件截止时间一致；线下纸质文件递交地点：陕西省西安市高新区科技二路72号兰基中心18楼（如需邮寄，建议顺丰速运，并将单位名称、联系人、电话及运单号发至877076548@qq.com邮箱）。</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提供有效存续的企业营业执照（副本）/事业单位法人证书/专业服务机构执业许可证/民办非企业单位登记证书。自然人参与的提供身份证明；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提供法定代表人授权书（附法定代表人、被授权人身份证复印件）及被授权人身份证原件（法定代表人直接参加投标，须提供法定代表人身份证明及身份证原件）；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提供2023年度或2024年度完整版的财务审计报告，成立时间至提交投标文件截止时间不足一年的可提供成立后任意时段的资产负债表，或投标时间前六个月内基本账户银行出具的资信证明；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提供投标截止之日前一年内已缴纳的至少三个月的纳税证明或完税证明（任意税种），依法免税的单位应提供相关证明材料；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提供投标截止之日前一年内已缴存的至少三个月的社会保障资金缴存单据或社保机构开具的社会保险参保缴费情况证明，依法不需要缴纳社会保障资金的单位应提供相关证明材料；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投标人无须提供，投标现场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联合体承诺书</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有下列情形之一的，应在符合性审查时按照无效磋商处理： （1）磋商响应文件未按照磋商文件规定要求签署、盖章的； （2）不满足本磋商文件中“服务期限、服务地点、采购资金的支付方式及约定”的实质性条款要求的； （3）文件有效期不足的或无有效期的； （4）报价超过磋商文件中规定的预算金额或最高限价的； （5）法律、法规和磋商文件规定的其他无效情形。</w:t>
            </w:r>
          </w:p>
        </w:tc>
        <w:tc>
          <w:tcPr>
            <w:tcW w:type="dxa" w:w="1661"/>
          </w:tcPr>
          <w:p>
            <w:pPr>
              <w:pStyle w:val="null3"/>
            </w:pPr>
            <w:r>
              <w:rPr>
                <w:rFonts w:ascii="仿宋_GB2312" w:hAnsi="仿宋_GB2312" w:cs="仿宋_GB2312" w:eastAsia="仿宋_GB2312"/>
              </w:rPr>
              <w:t>响应文件封面 分项报价表.docx 供应商应提交的相关资格证明材料.docx 中小企业声明函 供应商认为有必要说明的其他问题.docx 标的清单 服务要求偏离表.docx 商务应答表.docx 响应函 首次报价表.docx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供应商提供针对本项目的理解方案。 1.充分理解本项目服务需求，对项目现状和整体认知的理解，思路清晰明确得10分； 2.理解方案有针对性，但还有可以优化空间得7分； 3.理解方案内容不完善得3分； 4.方案内容有缺陷、表述前后不一致、套用其他项目方案或与项目需求不匹配等得1分；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课程研发证明</w:t>
            </w:r>
          </w:p>
        </w:tc>
        <w:tc>
          <w:tcPr>
            <w:tcW w:type="dxa" w:w="2492"/>
          </w:tcPr>
          <w:p>
            <w:pPr>
              <w:pStyle w:val="null3"/>
            </w:pPr>
            <w:r>
              <w:rPr>
                <w:rFonts w:ascii="仿宋_GB2312" w:hAnsi="仿宋_GB2312" w:cs="仿宋_GB2312" w:eastAsia="仿宋_GB2312"/>
              </w:rPr>
              <w:t>一、根据供应商提供的课程研发证明进行评价。具体内容包括但不限于以下几点： 1.材料完备能力：教材或论文包含封面、目录、封底、正文（教材最少3章完备文字）。教材或者刊发论文内容需涵盖（如小学、初中、高中）每个年龄段的任意学段障碍学生的特殊教育课程体系基础课程和核心课程的开发的相关内容。 2.材料声誉：与本项目相关的规划教材、刊物或者获得特殊教育领域专家的肯定或推荐。 3.材料完整性：提供完整的教材审读材料1份、完整的审读人政审表1份、教材版权归属人政审表、教学入选案例库至少1个。 4.科研合作证明：提供与特殊教育学校或残疾人相关单位进行课程研发或科研合作的盖章合同2份。（专家团队课程研发证明） 5.材料效果：有相关特殊教育学校或行业企业2份试用审读意见，并盖审读单位章。 满足全部5点内容得10分，每不满足一项扣2分，扣完为止。 二、在此基础上，根据各供应商的具体响应内容按照以下两个评审因素进行评审： 1.材料内容新：内容处理得当，内容较新；层次分明，表述准确；理论联系实际，突出课程实践性。 2.材料质量：教材整体字数15万字以上，论文字数5千字以上。 每满足一项评审标准得5分，本项最高得分10分。每项评审标准存在“瑕疵”的扣2分，扣完为止。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课例撰写</w:t>
            </w:r>
          </w:p>
        </w:tc>
        <w:tc>
          <w:tcPr>
            <w:tcW w:type="dxa" w:w="2492"/>
          </w:tcPr>
          <w:p>
            <w:pPr>
              <w:pStyle w:val="null3"/>
            </w:pPr>
            <w:r>
              <w:rPr>
                <w:rFonts w:ascii="仿宋_GB2312" w:hAnsi="仿宋_GB2312" w:cs="仿宋_GB2312" w:eastAsia="仿宋_GB2312"/>
              </w:rPr>
              <w:t>针对本项目的课例撰写制定总体实施方案，内容但不限于①背景分析②撰写内容设计③撰写风格④字体格式、⑤结构等要素等内容 1.完整性：方案必须全面，对评审内容中的各项要求有详细描述； 2.可实施性：切合本项目实际情况，提出步骤清晰、合理的方案； 3.针对性：方案能够紧扣项目实际情况，内容科学合理。 上述5项评审内容每满足一项评审标准得1分，满分15分。 每项评审内容或每项评审标准存在“瑕疵”的扣0.5分，扣完为止。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推广宣传</w:t>
            </w:r>
          </w:p>
        </w:tc>
        <w:tc>
          <w:tcPr>
            <w:tcW w:type="dxa" w:w="2492"/>
          </w:tcPr>
          <w:p>
            <w:pPr>
              <w:pStyle w:val="null3"/>
            </w:pPr>
            <w:r>
              <w:rPr>
                <w:rFonts w:ascii="仿宋_GB2312" w:hAnsi="仿宋_GB2312" w:cs="仿宋_GB2312" w:eastAsia="仿宋_GB2312"/>
              </w:rPr>
              <w:t>供应商需提供课程体系的宣传和推广工作方案；包含但不限于官方网站、社交媒体等渠道进行宣传，制作宣传册和海报等宣传材料。宣传方案需完整、渠道合理、宣传材料具有创意性，线下宣传活动需有活动安排等。 1.方案完整、渠道合理、宣传材料具有创意性，线下宣传活动安排完善，得10分； 2.方案比较完整、渠道合理、宣传材料具有创意性，线下宣传活动安排良好，得7分； 3.方案基本完整、渠道部分合理、宣传材料具有少许创意性，线下宣传活动安排一般，得3分； 4.方案不完整、渠道不完全合理、宣传材料无创意，无线下宣传活动安排，得1分。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供应商应针对本项目提供时间进度计划的安排及说明。 1.计划详细可行，针对性强，安排合理得5分 2.计划较可行，有一定的针对性得3分； 3.计划基本可行，针对性一般得1分；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针对本项目的需求，供应商服务能力、售后服务方案、承诺及保证： 1.售后服务方案全面，针对性强，具有很强的可操作性，所承诺的售后服务计划内容全面，售后巡检承诺齐全，保证措施、违约承诺详细，计划完善、组织合理；售后服务能力强，服务团队稳定，能提供优质快速的售后服务，响应时间在2小时及以内，完全满足采购人需求得10分。 2.提供售后服务方案相对比较全面，具有一定的针对性及可操作性，所承诺的售后服务计划内容较全面，有售后巡检承诺，保证措施、违约承诺详细，服务团队稳定，能提供优质的服务，响应时间在2-4小时，能较好的满足采购人需求得7分。 3.提供售后服务方案基本全面，具有一定的针对性及可操作性，所承诺的售后服务计划内容基本全面，有售后巡检承诺，保证措施、违约承诺不详细，但不够完善，售后服务尚可，服务团队稳定，能提供优质的服务，响应时间在4-6小时，基本满足采购人需求得3分。 4.提供的售后服务方案没有针对性及可操作性，违约措施不明确具体，售后人员专业性一般，响应时间在6小时及以上或未明确得1分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供应商提供的课程资源、撰写课例渠道正常，确保供应的产品无产权纠纷，需提供承诺书，得3分。未提供不得分。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评分内容： 一、专家团队组成要求： 1、专家团队须由5人及以上成员组成。 2、团队成员中至少有3人是普通高等学校特殊教育专业的专任教师。 3、其余成员须为特殊教育专业硕士研究生及以上，且具有学士学位证书。 二、证明材料要求： 1、提供至少3份普通高等学校特殊教育专业专任教师的相关材料，包括： （1）高校教师资格证 （2）职称证书 （3）个人简历 2、提供至少2份特殊教育专业硕士研究生及以上的相关材料，包括： （1）在读证明或学位证 （2）教师资格证 （3）个人简历 评分标准： 每提供一份完整的成员材料得2分，满分10分。成员材料不完整或未提供不得分。专家团队组成不符合要求的，本项不得分。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提供2022年05月1日至今类似项目业绩，每提供一份得1分,最高得2分。未提供不得分。 备注：以合同签订日期（具体到某年某月某日）为准附有业绩合同复印件加盖公章作为证明材料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满足磋商文件要求且最后报价最低的供应商的价格为评审基准价，其价格分为满分。其他供应商的价格分统一按照下列公式计算：投标报价得分=（评审基准价/最后磋商报价）×价格权值×100%。 注：磋商报价不完整的，不进入评标基准价的计算，本项得0分。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详见附件：首次报价表.docx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详见附件：服务要求偏离表.docx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