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版本号：HSZB-2025-02120250522001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2025年陕西省暨西安市灾害事故应急救援联合拉动演练项目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HSZB-2025-021</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华戍(陕西)项目管理有限公司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华戍(陕西)项目管理有限公司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2025年陕西省暨西安市灾害事故应急救援联合拉动演练项目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HSZB-2025-021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2025年陕西省暨西安市灾害事故应急救援联合拉动演练项目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厅和我局2025年演练计划安排，我处拟组织举办“秦岭砺兵·2025”陕西省暨西安市灾害事故应急救援联合拉动演练。此次演练由陕西省应急管理厅、西安市人民政府主办；西安市应急管理局、周至县人民政府承办；周至县应急管理局协办。拟邀请市公安局、市交通局、市卫生健康委、市生态环境局、市消防救援支队、国家消防救援局陕西机动队伍及命名的市级应急救援队伍等单位参与演练。演练采取拉动集结和实战演练的方式组织。参演人数约为1200人。 此次演练采取实兵实装实投、实际指挥协调、现场实景实操、远程实景切播、实况视频连线等方式全景展示，设置9个主科目34个子科目。为确保演练顺利举办，经前期调研协调,我处对演练的场地进行了实地查勘，拟在周至县司竹镇桑树店黑河东岸组织演练。 鉴于此次演练活动专业性强、任务量大、涉及面广、参加人员多，我们计划采取政府购买服务的方式，委托专业机构与救援协调和预案管理局共组织实施此次演练，确保演练活动取得预期效果。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采购包1（2025年陕西省暨西安市灾害事故应急救援联合拉动演练项目）：属于专门面向中小企业采购。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p>
      <w:pPr>
        <w:pStyle w:val="null3"/>
      </w:pPr>
      <w:r>
        <w:rPr>
          <w:rFonts w:ascii="仿宋_GB2312" w:hAnsi="仿宋_GB2312" w:cs="仿宋_GB2312" w:eastAsia="仿宋_GB2312"/>
        </w:rPr>
        <w:t>3、税收缴纳证明：提供截止至开标时间前一年内任意一个月的缴纳凭据（任意税种），依法免税的供应商应提供相关文件证明；</w:t>
      </w:r>
    </w:p>
    <w:p>
      <w:pPr>
        <w:pStyle w:val="null3"/>
      </w:pPr>
      <w:r>
        <w:rPr>
          <w:rFonts w:ascii="仿宋_GB2312" w:hAnsi="仿宋_GB2312" w:cs="仿宋_GB2312" w:eastAsia="仿宋_GB2312"/>
        </w:rPr>
        <w:t>4、社会保障资金缴纳证明：提供截止至开标时间前一年内任意一个月的社保缴纳凭据或社保机构开具的社会保险参保缴纳情况证明，依法不需要缴纳社会保障资金的供应商应提供相关证明；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6、说明及承诺：提供具有履行合同所必需的设备和专业技术能力的说明及承诺；</w:t>
      </w:r>
    </w:p>
    <w:p>
      <w:pPr>
        <w:pStyle w:val="null3"/>
      </w:pPr>
      <w:r>
        <w:rPr>
          <w:rFonts w:ascii="仿宋_GB2312" w:hAnsi="仿宋_GB2312" w:cs="仿宋_GB2312" w:eastAsia="仿宋_GB2312"/>
        </w:rPr>
        <w:t>7、书面声明：提供参加政府采购活动前3年内在经营活动中没有重大违法记录的书面声明；</w:t>
      </w:r>
    </w:p>
    <w:p>
      <w:pPr>
        <w:pStyle w:val="null3"/>
      </w:pPr>
      <w:r>
        <w:rPr>
          <w:rFonts w:ascii="仿宋_GB2312" w:hAnsi="仿宋_GB2312" w:cs="仿宋_GB2312" w:eastAsia="仿宋_GB2312"/>
        </w:rPr>
        <w:t>8、信用记录：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张旭昌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029-86517083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华戍(陕西)项目管理有限公司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西安市经济技术开发区凤城十二路首创禧悦里A座1906室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029-86108315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参照《招标代理服务收费暂行办法》（计价格[2002]1980号）文件及发改办价格[2003]857号文件约定后，由成交供应商在领取成交通知书前向采购代理机构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华戍(陕西)项目管理有限公司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华戍(陕西)项目管理有限公司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华戍(陕西)项目管理有限公司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西安市应急管理局（本级）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华戍(陕西)项目管理有限公司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华戍(陕西)项目管理有限公司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联系电话：029-86108315</w:t>
      </w:r>
    </w:p>
    <w:p>
      <w:pPr>
        <w:pStyle w:val="null3"/>
      </w:pPr>
      <w:r>
        <w:rPr>
          <w:rFonts w:ascii="仿宋_GB2312" w:hAnsi="仿宋_GB2312" w:cs="仿宋_GB2312" w:eastAsia="仿宋_GB2312"/>
        </w:rPr>
        <w:t>地址：西安市经济技术开发区凤城十二路首创禧悦里A座1906室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厅和我局2025年演练计划安排，我处拟组织举办“秦岭砺兵·2025”陕西省暨西安市灾害事故应急救援联合拉动演练。此次演练由陕西省应急管理厅、西安市人民政府主办；西安市应急管理局、周至县人民政府承办；周至县应急管理局协办。拟邀请市公安局、市交通局、市卫生健康委、市生态环境局、市消防救援支队、国家消防救援局陕西机动队伍及命名的市级应急救援队伍等单位参与演练。演练采取拉动集结和实战演练的方式组织。参演人数约为1200人。 此次演练采取实兵实装实投、实际指挥协调、现场实景实操、远程实景切播、实况视频连线等方式全景展示，设置9个主科目34个子科目。为确保演练顺利举办，经前期调研协调,我处对演练的场地进行了实地查勘，拟在周至县司竹镇桑树店黑河东岸组织演练。 鉴于此次演练活动专业性强、任务量大、涉及面广、参加人员多，我们计划采取政府购买服务的方式，委托专业机构与救援协调和预案管理局共组织实施此次演练，确保演练活动取得预期效果。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898,000.00</w:t>
      </w:r>
    </w:p>
    <w:p>
      <w:pPr>
        <w:pStyle w:val="null3"/>
      </w:pPr>
      <w:r>
        <w:rPr>
          <w:rFonts w:ascii="仿宋_GB2312" w:hAnsi="仿宋_GB2312" w:cs="仿宋_GB2312" w:eastAsia="仿宋_GB2312"/>
        </w:rPr>
        <w:t>采购包最高限价（元）: 898,000.00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2025年陕西省暨西安市灾害事故应急救援联合拉动演练项目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标的名称：2025年陕西省暨西安市灾害事故应急救援联合拉动演练项目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演练前期场地设计、规划、搭建；规划图、观摩册等文字资料的编制与修改；演练前期以及预演合练和正式演练当天的工作控制保障。控制保障人员包含：场地、文案、后期、安保、物资、协调、导演、多媒体大屏、音响等人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培训服务，包括：演练科目培训、参演人员培训、控制保障人员培训。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演练前期及演练现场视频拍摄、制作，包括：编制视频策划方案、配音通稿、拍摄脚本、拍摄计划；现场不低于10个机位拍摄影像与图片；辅助拍摄灯光道具、挑杆、小蜜蜂收声内容；现场灯光以及现场声音收纳、设备管理；剪辑制作2个演练专题视频（时长5-8分钟）、25个片段以内演练现场视频（每个片段时长不超过1分钟）；完成视频后期调色控制色调质感；后期动画制作包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sz w:val="18"/>
              </w:rPr>
              <w:t>演练现场场地设置、静态装备展示区及主席台搭建，包括：</w:t>
            </w:r>
          </w:p>
          <w:p>
            <w:pPr>
              <w:pStyle w:val="null3"/>
              <w:ind w:firstLine="480"/>
              <w:jc w:val="both"/>
            </w:pPr>
            <w:r>
              <w:rPr>
                <w:rFonts w:ascii="仿宋_GB2312" w:hAnsi="仿宋_GB2312" w:cs="仿宋_GB2312" w:eastAsia="仿宋_GB2312"/>
                <w:sz w:val="18"/>
              </w:rPr>
              <w:t>1）舞台背景桁架6m*20m；</w:t>
            </w:r>
          </w:p>
          <w:p>
            <w:pPr>
              <w:pStyle w:val="null3"/>
              <w:ind w:firstLine="480"/>
              <w:jc w:val="both"/>
            </w:pPr>
            <w:r>
              <w:rPr>
                <w:rFonts w:ascii="仿宋_GB2312" w:hAnsi="仿宋_GB2312" w:cs="仿宋_GB2312" w:eastAsia="仿宋_GB2312"/>
                <w:sz w:val="18"/>
              </w:rPr>
              <w:t>2）黑白布背景板喷绘6m*20m；桁架背景配重支撑；</w:t>
            </w:r>
          </w:p>
          <w:p>
            <w:pPr>
              <w:pStyle w:val="null3"/>
              <w:ind w:firstLine="480"/>
              <w:jc w:val="both"/>
            </w:pPr>
            <w:r>
              <w:rPr>
                <w:rFonts w:ascii="仿宋_GB2312" w:hAnsi="仿宋_GB2312" w:cs="仿宋_GB2312" w:eastAsia="仿宋_GB2312"/>
                <w:sz w:val="18"/>
              </w:rPr>
              <w:t>3）签到墙桁架3m*5m；</w:t>
            </w:r>
          </w:p>
          <w:p>
            <w:pPr>
              <w:pStyle w:val="null3"/>
              <w:ind w:firstLine="480"/>
              <w:jc w:val="both"/>
            </w:pPr>
            <w:r>
              <w:rPr>
                <w:rFonts w:ascii="仿宋_GB2312" w:hAnsi="仿宋_GB2312" w:cs="仿宋_GB2312" w:eastAsia="仿宋_GB2312"/>
                <w:sz w:val="18"/>
              </w:rPr>
              <w:t>4）签到墙黑白布背景板喷绘3m*5m；</w:t>
            </w:r>
          </w:p>
          <w:p>
            <w:pPr>
              <w:pStyle w:val="null3"/>
              <w:ind w:firstLine="480"/>
              <w:jc w:val="both"/>
            </w:pPr>
            <w:r>
              <w:rPr>
                <w:rFonts w:ascii="仿宋_GB2312" w:hAnsi="仿宋_GB2312" w:cs="仿宋_GB2312" w:eastAsia="仿宋_GB2312"/>
                <w:sz w:val="18"/>
              </w:rPr>
              <w:t>5）场地舞台地毯6m*50m；</w:t>
            </w:r>
          </w:p>
          <w:p>
            <w:pPr>
              <w:pStyle w:val="null3"/>
              <w:ind w:firstLine="480"/>
              <w:jc w:val="both"/>
            </w:pPr>
            <w:r>
              <w:rPr>
                <w:rFonts w:ascii="仿宋_GB2312" w:hAnsi="仿宋_GB2312" w:cs="仿宋_GB2312" w:eastAsia="仿宋_GB2312"/>
                <w:sz w:val="18"/>
              </w:rPr>
              <w:t>6）主舞台搭建50m*6m；</w:t>
            </w:r>
          </w:p>
          <w:p>
            <w:pPr>
              <w:pStyle w:val="null3"/>
              <w:ind w:firstLine="480"/>
              <w:jc w:val="both"/>
            </w:pPr>
            <w:r>
              <w:rPr>
                <w:rFonts w:ascii="仿宋_GB2312" w:hAnsi="仿宋_GB2312" w:cs="仿宋_GB2312" w:eastAsia="仿宋_GB2312"/>
                <w:sz w:val="18"/>
              </w:rPr>
              <w:t>7）台口标语50m*1.5m；</w:t>
            </w:r>
          </w:p>
          <w:p>
            <w:pPr>
              <w:pStyle w:val="null3"/>
              <w:ind w:firstLine="480"/>
              <w:jc w:val="both"/>
            </w:pPr>
            <w:r>
              <w:rPr>
                <w:rFonts w:ascii="仿宋_GB2312" w:hAnsi="仿宋_GB2312" w:cs="仿宋_GB2312" w:eastAsia="仿宋_GB2312"/>
                <w:sz w:val="18"/>
              </w:rPr>
              <w:t>8）水柱旗的旗杆高5m（不少于50组）；</w:t>
            </w:r>
          </w:p>
          <w:p>
            <w:pPr>
              <w:pStyle w:val="null3"/>
              <w:ind w:firstLine="480"/>
              <w:jc w:val="both"/>
            </w:pPr>
            <w:r>
              <w:rPr>
                <w:rFonts w:ascii="仿宋_GB2312" w:hAnsi="仿宋_GB2312" w:cs="仿宋_GB2312" w:eastAsia="仿宋_GB2312"/>
                <w:sz w:val="18"/>
              </w:rPr>
              <w:t>9）水柱旗的旗帜布长约2.5m（不少于50组）；</w:t>
            </w:r>
          </w:p>
          <w:p>
            <w:pPr>
              <w:pStyle w:val="null3"/>
              <w:ind w:firstLine="480"/>
              <w:jc w:val="both"/>
            </w:pPr>
            <w:r>
              <w:rPr>
                <w:rFonts w:ascii="仿宋_GB2312" w:hAnsi="仿宋_GB2312" w:cs="仿宋_GB2312" w:eastAsia="仿宋_GB2312"/>
                <w:sz w:val="18"/>
              </w:rPr>
              <w:t>10）队伍展示架制作（尺寸根据最终队伍数量确定）；</w:t>
            </w:r>
          </w:p>
          <w:p>
            <w:pPr>
              <w:pStyle w:val="null3"/>
              <w:ind w:firstLine="480"/>
              <w:jc w:val="both"/>
            </w:pPr>
            <w:r>
              <w:rPr>
                <w:rFonts w:ascii="仿宋_GB2312" w:hAnsi="仿宋_GB2312" w:cs="仿宋_GB2312" w:eastAsia="仿宋_GB2312"/>
                <w:sz w:val="18"/>
              </w:rPr>
              <w:t>11）主席台桌子及桌套（满足不低于150人列席，具体排列最终根据现场布置确定）；</w:t>
            </w:r>
          </w:p>
          <w:p>
            <w:pPr>
              <w:pStyle w:val="null3"/>
              <w:ind w:firstLine="480"/>
              <w:jc w:val="both"/>
            </w:pPr>
            <w:r>
              <w:rPr>
                <w:rFonts w:ascii="仿宋_GB2312" w:hAnsi="仿宋_GB2312" w:cs="仿宋_GB2312" w:eastAsia="仿宋_GB2312"/>
                <w:sz w:val="18"/>
              </w:rPr>
              <w:t>12）主席台椅子及椅套（不低于150套）；</w:t>
            </w:r>
          </w:p>
          <w:p>
            <w:pPr>
              <w:pStyle w:val="null3"/>
              <w:ind w:firstLine="480"/>
              <w:jc w:val="both"/>
            </w:pPr>
            <w:r>
              <w:rPr>
                <w:rFonts w:ascii="仿宋_GB2312" w:hAnsi="仿宋_GB2312" w:cs="仿宋_GB2312" w:eastAsia="仿宋_GB2312"/>
                <w:sz w:val="18"/>
              </w:rPr>
              <w:t>13）现场指引路牌；控制台帐篷等。</w:t>
            </w:r>
          </w:p>
          <w:p>
            <w:pPr>
              <w:pStyle w:val="null3"/>
              <w:jc w:val="both"/>
            </w:pPr>
            <w:r>
              <w:rPr>
                <w:rFonts w:ascii="仿宋_GB2312" w:hAnsi="仿宋_GB2312" w:cs="仿宋_GB2312" w:eastAsia="仿宋_GB2312"/>
                <w:sz w:val="18"/>
              </w:rPr>
              <w:t>注：以上尺寸最终根据演练场地实际大小进行细微调整，最终以采购人通知为准。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sz w:val="18"/>
              </w:rPr>
              <w:t>演练现场音响主席台大屏等设备，包括：线阵主扩全频音箱、线阵中置补声音箱、低频音箱、超低返听音箱、音响控台、静音发电车、对讲机、麦克风、无线备用麦克风。户外高清防雨大屏7m*12m。</w:t>
            </w:r>
          </w:p>
          <w:p>
            <w:pPr>
              <w:pStyle w:val="null3"/>
              <w:jc w:val="both"/>
            </w:pPr>
            <w:r>
              <w:rPr>
                <w:rFonts w:ascii="仿宋_GB2312" w:hAnsi="仿宋_GB2312" w:cs="仿宋_GB2312" w:eastAsia="仿宋_GB2312"/>
                <w:sz w:val="18"/>
              </w:rPr>
              <w:t>注：以上尺寸最终根据演练场地实际大小进行细微调整，最终以采购人通知为准。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rPr>
              <w:t>演练现场、主席观摩台现场拍摄摇臂、摄像、航拍等摄像相关等设备，包括：15m户外品牌可伸缩360度旋转摇臂带高清摄像机、不低于10台摄像机同时每台配备相应的专业摄像人员、适配镜头人像镜头/长焦镜头、超清视频切换控制台、大屏视频播放系统电脑与平台，航拍器、音频切换台、广电级5G背包、超清无限图传设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80"/>
              <w:jc w:val="both"/>
            </w:pPr>
            <w:r>
              <w:rPr>
                <w:rFonts w:ascii="仿宋_GB2312" w:hAnsi="仿宋_GB2312" w:cs="仿宋_GB2312" w:eastAsia="仿宋_GB2312"/>
                <w:sz w:val="18"/>
              </w:rPr>
              <w:t>演练期间各种文本编制、设计、排版、印刷、制作，包括：</w:t>
            </w:r>
          </w:p>
          <w:p>
            <w:pPr>
              <w:pStyle w:val="null3"/>
              <w:ind w:firstLine="480"/>
              <w:jc w:val="both"/>
            </w:pPr>
            <w:r>
              <w:rPr>
                <w:rFonts w:ascii="仿宋_GB2312" w:hAnsi="仿宋_GB2312" w:cs="仿宋_GB2312" w:eastAsia="仿宋_GB2312"/>
                <w:sz w:val="18"/>
              </w:rPr>
              <w:t>（1）主席台资料印制（包括演练计划及方案），数量共20本，要求：骑马钉、彩印、封面设计、200g铜版纸、覆亚膜；</w:t>
            </w:r>
          </w:p>
          <w:p>
            <w:pPr>
              <w:pStyle w:val="null3"/>
              <w:ind w:firstLine="480"/>
              <w:jc w:val="both"/>
            </w:pPr>
            <w:r>
              <w:rPr>
                <w:rFonts w:ascii="仿宋_GB2312" w:hAnsi="仿宋_GB2312" w:cs="仿宋_GB2312" w:eastAsia="仿宋_GB2312"/>
                <w:sz w:val="18"/>
              </w:rPr>
              <w:t>（2）观摩人员手册，数量共100本，要求：骑马钉、彩印、封面设计、150g铜板纸、覆亚膜、内黑；</w:t>
            </w:r>
          </w:p>
          <w:p>
            <w:pPr>
              <w:pStyle w:val="null3"/>
              <w:ind w:firstLine="480"/>
              <w:jc w:val="both"/>
            </w:pPr>
            <w:r>
              <w:rPr>
                <w:rFonts w:ascii="仿宋_GB2312" w:hAnsi="仿宋_GB2312" w:cs="仿宋_GB2312" w:eastAsia="仿宋_GB2312"/>
                <w:sz w:val="18"/>
              </w:rPr>
              <w:t>（3）工作证（数量视参演人数情况而定，要求：PVC材质，尺寸8*12cm）；</w:t>
            </w:r>
          </w:p>
          <w:p>
            <w:pPr>
              <w:pStyle w:val="null3"/>
              <w:ind w:firstLine="480"/>
              <w:jc w:val="both"/>
            </w:pPr>
            <w:r>
              <w:rPr>
                <w:rFonts w:ascii="仿宋_GB2312" w:hAnsi="仿宋_GB2312" w:cs="仿宋_GB2312" w:eastAsia="仿宋_GB2312"/>
                <w:sz w:val="18"/>
              </w:rPr>
              <w:t>（4）嘉宾证（数量视参演人数情况而定，要求：PVC材质，尺寸8*12cm）；</w:t>
            </w:r>
          </w:p>
          <w:p>
            <w:pPr>
              <w:pStyle w:val="null3"/>
              <w:ind w:firstLine="480"/>
              <w:jc w:val="both"/>
            </w:pPr>
            <w:r>
              <w:rPr>
                <w:rFonts w:ascii="仿宋_GB2312" w:hAnsi="仿宋_GB2312" w:cs="仿宋_GB2312" w:eastAsia="仿宋_GB2312"/>
                <w:sz w:val="18"/>
              </w:rPr>
              <w:t>（5）汇编册（数量不低于4本，要求：封面设计，压纹纸，胶装、A4、内黑）。</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rPr>
              <w:t>大型载人直升机（不低于1台）、无人机（不低于1台）等航空器。主要包括直升机参演水域救援、吊桶作业，无人机现场信息采集与现场测绘。</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rPr>
              <w:t>分练、合练、彩排、预演、正式演出期间，所有参演单位、工作人员的饮水、餐食、意外保险费等后勤保障（供保障人数不低于1200人）。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其他要求说明如下：（一）采购人应在成交通知书发出之日起二十五日内与成交供应商签订采购合同；（二）评审结束后，代理机构在评审结束之日起1个工作日内将磋商报告及有关资料送交采购人。采购人在收到磋商报告后4个工作日内，在磋商报告确定的成交候选供应商名单中按顺序确定成交供应商。成交候选供应商并列的，由采购人采取随机抽取的方式确定成交供应商。代理机构在收到成交复函后在1个工作日内发布成交结果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同时出具法定代表人授权书、授权代表身份证及其近两个月内的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提供截止至开标时间前一年内任意一个月的缴纳凭据（任意税种），依法免税的供应商应提供相关文件证明；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响应文件响应文件格式、语言及有效期符合磋商文件要求。格式、语言及有效期符合磋商文件要求。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提供2021年以来至今的类似项目业绩，每提供1份得1.5分，本项最高得6分；注：1.以合同复印件加盖公章为准；2.时间以合同签订时间为准；3.未提供或提供不完整或不清晰的均不得分。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需求理解及定位</w:t>
            </w:r>
          </w:p>
        </w:tc>
        <w:tc>
          <w:tcPr>
            <w:tcW w:type="dxa" w:w="2492"/>
          </w:tcPr>
          <w:p>
            <w:pPr>
              <w:pStyle w:val="null3"/>
            </w:pPr>
            <w:r>
              <w:rPr>
                <w:rFonts w:ascii="仿宋_GB2312" w:hAnsi="仿宋_GB2312" w:cs="仿宋_GB2312" w:eastAsia="仿宋_GB2312"/>
              </w:rPr>
              <w:t>（一）评审内容：供应商针对本次联合演练的特点，方案内容包括1.联合演练的需求理解；2.演练类型、规模的合理定位；3.总体构想及组织策划程序；4.重难点分析与应对措施。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演练准备阶段服务方案</w:t>
            </w:r>
          </w:p>
        </w:tc>
        <w:tc>
          <w:tcPr>
            <w:tcW w:type="dxa" w:w="2492"/>
          </w:tcPr>
          <w:p>
            <w:pPr>
              <w:pStyle w:val="null3"/>
            </w:pPr>
            <w:r>
              <w:rPr>
                <w:rFonts w:ascii="仿宋_GB2312" w:hAnsi="仿宋_GB2312" w:cs="仿宋_GB2312" w:eastAsia="仿宋_GB2312"/>
              </w:rPr>
              <w:t>（一）评审内容：1.针对本项目演练场地的组织措施，包括调研后的演练现场的设计、规划、搭建等服务方案；2.针对本项目的培训方案，包括演练科目培训、参演人员培训、控制保障人员培训以及演练现场的安全保障培训；3.演练执行进度安排，针对演练内容布置科学合理的演练日程安排计划。 （二）评审标准：以上3项内容无缺项，专门针对本项目编制，符合本项目实际情况，内容完整、条理清晰、能够保障项目顺利实施的得9分。每项内容根据供应商内容响应程度：每缺少一项内容或者内容非针对于本项目的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演练的质量保障方案</w:t>
            </w:r>
          </w:p>
        </w:tc>
        <w:tc>
          <w:tcPr>
            <w:tcW w:type="dxa" w:w="2492"/>
          </w:tcPr>
          <w:p>
            <w:pPr>
              <w:pStyle w:val="null3"/>
            </w:pPr>
            <w:r>
              <w:rPr>
                <w:rFonts w:ascii="仿宋_GB2312" w:hAnsi="仿宋_GB2312" w:cs="仿宋_GB2312" w:eastAsia="仿宋_GB2312"/>
              </w:rPr>
              <w:t>（一）评审内容：1.设施设备投入及使用方案，包括但不限于拍摄设备、音响设备及演练设备等；2.视频拍摄及制作服务方案；3.演练期间各类文本编制及设计方案；4.后勤服务保障方案，包括分练、合练、彩排、预演、正式演出阶段的所有参演人员的后勤保障内容。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演练的安全保障方案</w:t>
            </w:r>
          </w:p>
        </w:tc>
        <w:tc>
          <w:tcPr>
            <w:tcW w:type="dxa" w:w="2492"/>
          </w:tcPr>
          <w:p>
            <w:pPr>
              <w:pStyle w:val="null3"/>
            </w:pPr>
            <w:r>
              <w:rPr>
                <w:rFonts w:ascii="仿宋_GB2312" w:hAnsi="仿宋_GB2312" w:cs="仿宋_GB2312" w:eastAsia="仿宋_GB2312"/>
              </w:rPr>
              <w:t>（一）评审内容：1.针对演练中参演人员的安全保障预案；2.针对所有参会人员的安全保障预案；3.针对所有拟投入设备的安全操作及使用方案。 评审标准：以上3项内容无缺项，专门针对本项目编制，符合本项目实际情况，内容完整、条理清晰、能够保障项目顺利实施的得9分。每项内容根据供应商内容响应程度：每缺少一项内容或者内容非针对于本项目的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包括但不限于1.针对停水停电的应急预案及措施；2.针对服务人员临时缺勤的应急预案及措施；3.针对拟投入各类设备替换及补充的应急预案及措施；4.针对恶劣天气（如暴雨、大风、高温等）的应急预案及措施。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演练最终成果展示及资料移交方案</w:t>
            </w:r>
          </w:p>
        </w:tc>
        <w:tc>
          <w:tcPr>
            <w:tcW w:type="dxa" w:w="2492"/>
          </w:tcPr>
          <w:p>
            <w:pPr>
              <w:pStyle w:val="null3"/>
            </w:pPr>
            <w:r>
              <w:rPr>
                <w:rFonts w:ascii="仿宋_GB2312" w:hAnsi="仿宋_GB2312" w:cs="仿宋_GB2312" w:eastAsia="仿宋_GB2312"/>
              </w:rPr>
              <w:t>（一）评审内容：包括但不限于1.最终演练成果及资料整理方案；2.资料移交及保管服务方案； （二）评审标准：以上2项内容无缺项，专门针对本项目编制，符合本项目实际情况，内容完整、条理清晰、能够保障项目顺利实施的得6分。每项内容根据供应商内容响应程度：每缺少一项内容或者内容非针对于本项目的扣3分，每有一项内容有缺陷的扣1.5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评审内容：提供项目负责人的基本情况信息，包括但不限于姓名、性别、学历、工作年限等。要求拟派项目负责人具有丰富的相关领域工作经验，曾担任过类似项目总负责人的，每提供一份证明材料计1分，满分计4分。 （二）1.证明材料包括但不限于项目策划现场证明资料或项目合同等；2.提供项目负责人响应截止时间前近3个月的社保缴纳证明。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一）评审内容：供应商针对本项目团队成员配备方案：1.团队成员数量及配置满足采购需求；2.各岗位职责分工明确、搭配合理，能够涵盖并满足服务内容；3.团队成员提供个人专业能力及工作经验等方面证明材料（包括但不限于身份证、毕业证、专业证书及相关履历等）。 （二）评审标准： 1.根据项目团队成员配置、搭配合理程度计0-3分； 2.根据各岗位职责分工明确、搭配合理程度附0-3分； 3.根据项目成员证明材料的完整程度及能力0-3分。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（一）评审内容：包括但不限于1.针对本项目的服务质量目标承诺；2.针对本项目的服务进度目标承诺；3.针对本项目的服务安全目标承诺。 （二）评审标准：以上3项内容无缺项，专门针对本项目对出关键承诺，符合本项目实际情况、能够保障项目顺利、高效、安全实施的得6分。每项内容根据供应商内容响应程度：每缺少一项内容或者内容非针对于本项目的扣2分，每有一项内容有缺陷的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