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版本号：ZX2025-05-3020250522001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2025年西安市人才市场招聘活动</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ZX2025-05-30</w:t>
      </w:r>
      <w:r>
        <w:br/>
      </w:r>
      <w:r>
        <w:br/>
      </w:r>
      <w:r>
        <w:br/>
      </w:r>
    </w:p>
    <w:p>
      <w:pPr>
        <w:pStyle w:val="null3"/>
        <w:jc w:val="center"/>
        <w:outlineLvl w:val="2"/>
      </w:pPr>
      <w:r>
        <w:rPr>
          <w:rFonts w:ascii="仿宋_GB2312" w:hAnsi="仿宋_GB2312" w:cs="仿宋_GB2312" w:eastAsia="仿宋_GB2312"/>
          <w:sz w:val="28"/>
          <w:b/>
        </w:rPr>
        <w:t>西安市人才服务中心</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西安市人才服务中心</w:t>
      </w:r>
      <w:r>
        <w:rPr>
          <w:rFonts w:ascii="仿宋_GB2312" w:hAnsi="仿宋_GB2312" w:cs="仿宋_GB2312" w:eastAsia="仿宋_GB2312"/>
        </w:rPr>
        <w:t>委托，拟对</w:t>
      </w:r>
      <w:r>
        <w:rPr>
          <w:rFonts w:ascii="仿宋_GB2312" w:hAnsi="仿宋_GB2312" w:cs="仿宋_GB2312" w:eastAsia="仿宋_GB2312"/>
        </w:rPr>
        <w:t>2025年西安市人才市场招聘活动</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ZX2025-05-30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2025年西安市人才市场招聘活动</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2025年西安市人才市场招聘活动，1项，具体内容详见磋商文件第三章。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采购包1（2025年西安市人才市场招聘活动）：属于专门面向中小企业采购。</w:t>
      </w:r>
    </w:p>
    <w:p>
      <w:pPr>
        <w:pStyle w:val="null3"/>
      </w:pPr>
      <w:r>
        <w:rPr>
          <w:rFonts w:ascii="仿宋_GB2312" w:hAnsi="仿宋_GB2312" w:cs="仿宋_GB2312" w:eastAsia="仿宋_GB2312"/>
        </w:rPr>
        <w:t>供应商合同分包的，分包意向协议中分包意向供应商应当为中小企业。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1、法定代表人授权委托书：法定代表人授权委托书：法定代表人参加磋商的，须出示身份证；法定代表人授权本单位他人参加磋商的，须提供法定代表人授权委托书。</w:t>
      </w:r>
    </w:p>
    <w:p>
      <w:pPr>
        <w:pStyle w:val="null3"/>
      </w:pPr>
      <w:r>
        <w:rPr>
          <w:rFonts w:ascii="仿宋_GB2312" w:hAnsi="仿宋_GB2312" w:cs="仿宋_GB2312" w:eastAsia="仿宋_GB2312"/>
        </w:rPr>
        <w:t>2、本项目不接受联合体磋商：本项目不接受联合体磋商，供应商应提供《非联合体投标声明》。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西安市人才服务中心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西安市南二环西段88号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邓老师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029-88360286-8104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胡怡洁 周楚杰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代理服务费收费标准：参照国家计委计价格[2002]1980号及发改办价格[2003]857号通知规定，由成交供应商支付代理服务费。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西安市人才服务中心</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西安市人才服务中心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西安市人才服务中心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采购包1：分包比例49%，分包履行的内容：/；资质要求详见第4章</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联系人：周楚杰 胡怡洁</w:t>
      </w:r>
    </w:p>
    <w:p>
      <w:pPr>
        <w:pStyle w:val="null3"/>
      </w:pPr>
      <w:r>
        <w:rPr>
          <w:rFonts w:ascii="仿宋_GB2312" w:hAnsi="仿宋_GB2312" w:cs="仿宋_GB2312" w:eastAsia="仿宋_GB2312"/>
        </w:rPr>
        <w:t>联系电话：029-88110800转8030（邮箱号：453963218@qq.com）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2025年西安市人才市场招聘活动，1项，具体内容详见采购需求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750,000.00</w:t>
      </w:r>
    </w:p>
    <w:p>
      <w:pPr>
        <w:pStyle w:val="null3"/>
      </w:pPr>
      <w:r>
        <w:rPr>
          <w:rFonts w:ascii="仿宋_GB2312" w:hAnsi="仿宋_GB2312" w:cs="仿宋_GB2312" w:eastAsia="仿宋_GB2312"/>
        </w:rPr>
        <w:t>采购包最高限价（元）: 750,000.00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西安市人才市场招聘活动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标的名称：西安市人才市场招聘活动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rPr>
              <w:t>依托西安市人才市场地标作用，持续打造</w:t>
            </w:r>
            <w:r>
              <w:rPr>
                <w:rFonts w:ascii="仿宋_GB2312" w:hAnsi="仿宋_GB2312" w:cs="仿宋_GB2312" w:eastAsia="仿宋_GB2312"/>
                <w:sz w:val="20"/>
              </w:rPr>
              <w:t>“西安市人才市场”、“西安人才直播间”两大品牌招聘平台，促进民营经济高质量发展，多措并举促就业，积极搭建高校毕业生、失业青年等重点就业群体和用人单位供需对接平台，计划开展2025年西安市人才市场招聘活动，为保障活动顺利开展，现制定方案如下：</w:t>
            </w:r>
          </w:p>
          <w:p>
            <w:pPr>
              <w:pStyle w:val="null3"/>
            </w:pPr>
            <w:r>
              <w:rPr>
                <w:rFonts w:ascii="仿宋_GB2312" w:hAnsi="仿宋_GB2312" w:cs="仿宋_GB2312" w:eastAsia="仿宋_GB2312"/>
                <w:sz w:val="20"/>
              </w:rPr>
              <w:t>一、组织机构</w:t>
            </w:r>
          </w:p>
          <w:p>
            <w:pPr>
              <w:pStyle w:val="null3"/>
            </w:pPr>
            <w:r>
              <w:rPr>
                <w:rFonts w:ascii="仿宋_GB2312" w:hAnsi="仿宋_GB2312" w:cs="仿宋_GB2312" w:eastAsia="仿宋_GB2312"/>
                <w:sz w:val="20"/>
              </w:rPr>
              <w:t>主办单位：西安市人力资源和社会保障局</w:t>
            </w:r>
          </w:p>
          <w:p>
            <w:pPr>
              <w:pStyle w:val="null3"/>
            </w:pPr>
            <w:r>
              <w:rPr>
                <w:rFonts w:ascii="仿宋_GB2312" w:hAnsi="仿宋_GB2312" w:cs="仿宋_GB2312" w:eastAsia="仿宋_GB2312"/>
                <w:sz w:val="20"/>
              </w:rPr>
              <w:t>承办单位：西安市人才服务中心</w:t>
            </w:r>
          </w:p>
          <w:p>
            <w:pPr>
              <w:pStyle w:val="null3"/>
            </w:pPr>
            <w:r>
              <w:rPr>
                <w:rFonts w:ascii="仿宋_GB2312" w:hAnsi="仿宋_GB2312" w:cs="仿宋_GB2312" w:eastAsia="仿宋_GB2312"/>
                <w:sz w:val="20"/>
              </w:rPr>
              <w:t>西安毕业生就业市场</w:t>
            </w:r>
          </w:p>
          <w:p>
            <w:pPr>
              <w:pStyle w:val="null3"/>
            </w:pPr>
            <w:r>
              <w:rPr>
                <w:rFonts w:ascii="仿宋_GB2312" w:hAnsi="仿宋_GB2312" w:cs="仿宋_GB2312" w:eastAsia="仿宋_GB2312"/>
                <w:sz w:val="20"/>
              </w:rPr>
              <w:t>二、服务对象</w:t>
            </w:r>
          </w:p>
          <w:p>
            <w:pPr>
              <w:pStyle w:val="null3"/>
            </w:pPr>
            <w:r>
              <w:rPr>
                <w:rFonts w:ascii="仿宋_GB2312" w:hAnsi="仿宋_GB2312" w:cs="仿宋_GB2312" w:eastAsia="仿宋_GB2312"/>
                <w:sz w:val="20"/>
              </w:rPr>
              <w:t>（一）应往届离校未就业高校毕业生、失业青年等就业群体</w:t>
            </w:r>
          </w:p>
          <w:p>
            <w:pPr>
              <w:pStyle w:val="null3"/>
            </w:pPr>
            <w:r>
              <w:rPr>
                <w:rFonts w:ascii="仿宋_GB2312" w:hAnsi="仿宋_GB2312" w:cs="仿宋_GB2312" w:eastAsia="仿宋_GB2312"/>
                <w:sz w:val="20"/>
              </w:rPr>
              <w:t>（二）有招聘需求的各类用人单位</w:t>
            </w:r>
          </w:p>
          <w:p>
            <w:pPr>
              <w:pStyle w:val="null3"/>
            </w:pPr>
            <w:r>
              <w:rPr>
                <w:rFonts w:ascii="仿宋_GB2312" w:hAnsi="仿宋_GB2312" w:cs="仿宋_GB2312" w:eastAsia="仿宋_GB2312"/>
                <w:sz w:val="20"/>
              </w:rPr>
              <w:t>三、活动安排</w:t>
            </w:r>
          </w:p>
          <w:p>
            <w:pPr>
              <w:pStyle w:val="null3"/>
            </w:pPr>
            <w:r>
              <w:rPr>
                <w:rFonts w:ascii="仿宋_GB2312" w:hAnsi="仿宋_GB2312" w:cs="仿宋_GB2312" w:eastAsia="仿宋_GB2312"/>
                <w:sz w:val="20"/>
              </w:rPr>
              <w:t>全年共计举办</w:t>
            </w:r>
            <w:r>
              <w:rPr>
                <w:rFonts w:ascii="仿宋_GB2312" w:hAnsi="仿宋_GB2312" w:cs="仿宋_GB2312" w:eastAsia="仿宋_GB2312"/>
                <w:sz w:val="20"/>
              </w:rPr>
              <w:t>50场（35场现场招聘会+10场直播带岗+5场网络招聘会）</w:t>
            </w:r>
          </w:p>
          <w:p>
            <w:pPr>
              <w:pStyle w:val="null3"/>
            </w:pPr>
            <w:r>
              <w:rPr>
                <w:rFonts w:ascii="仿宋_GB2312" w:hAnsi="仿宋_GB2312" w:cs="仿宋_GB2312" w:eastAsia="仿宋_GB2312"/>
                <w:sz w:val="20"/>
              </w:rPr>
              <w:t>（一）现场招聘会（</w:t>
            </w:r>
            <w:r>
              <w:rPr>
                <w:rFonts w:ascii="仿宋_GB2312" w:hAnsi="仿宋_GB2312" w:cs="仿宋_GB2312" w:eastAsia="仿宋_GB2312"/>
                <w:sz w:val="20"/>
              </w:rPr>
              <w:t>35场）</w:t>
            </w:r>
          </w:p>
          <w:p>
            <w:pPr>
              <w:pStyle w:val="null3"/>
            </w:pPr>
            <w:r>
              <w:rPr>
                <w:rFonts w:ascii="仿宋_GB2312" w:hAnsi="仿宋_GB2312" w:cs="仿宋_GB2312" w:eastAsia="仿宋_GB2312"/>
                <w:sz w:val="20"/>
              </w:rPr>
              <w:t>1.分求职群体：联合团市委、市退役军人事务局等单位举办针对应往届离校未就业高校毕业生、失业青年、退役军人等重点求职群体专场招聘活动。精准对接不同求职群体需求，搭建专业化招聘平台，提高招聘效率和求职成功率。</w:t>
            </w:r>
          </w:p>
          <w:p>
            <w:pPr>
              <w:pStyle w:val="null3"/>
            </w:pPr>
            <w:r>
              <w:rPr>
                <w:rFonts w:ascii="仿宋_GB2312" w:hAnsi="仿宋_GB2312" w:cs="仿宋_GB2312" w:eastAsia="仿宋_GB2312"/>
                <w:sz w:val="20"/>
              </w:rPr>
              <w:t>2.分重点行业：组织民营企业、专精特新行业、制造业、信息技术、新能源、生物医药等重点行业专场招聘活动，为重点行业企业与求职者搭建高效对接平台，解决企业人才短缺问题，助力求职者精准就业。</w:t>
            </w:r>
          </w:p>
          <w:p>
            <w:pPr>
              <w:pStyle w:val="null3"/>
            </w:pPr>
            <w:r>
              <w:rPr>
                <w:rFonts w:ascii="仿宋_GB2312" w:hAnsi="仿宋_GB2312" w:cs="仿宋_GB2312" w:eastAsia="仿宋_GB2312"/>
                <w:sz w:val="20"/>
              </w:rPr>
              <w:t>3.分专项行动：按照“百日千万招聘专项行动”、“金秋招聘月”、“高校毕业生等青年就业服务攻坚行动等专项行动”文件要求，发挥牵头作用，联合区县、开发区开展招聘活动、政策咨询等就业服务。</w:t>
            </w:r>
          </w:p>
          <w:p>
            <w:pPr>
              <w:pStyle w:val="null3"/>
            </w:pPr>
            <w:r>
              <w:rPr>
                <w:rFonts w:ascii="仿宋_GB2312" w:hAnsi="仿宋_GB2312" w:cs="仿宋_GB2312" w:eastAsia="仿宋_GB2312"/>
                <w:sz w:val="20"/>
              </w:rPr>
              <w:t>（每场</w:t>
            </w:r>
            <w:r>
              <w:rPr>
                <w:rFonts w:ascii="仿宋_GB2312" w:hAnsi="仿宋_GB2312" w:cs="仿宋_GB2312" w:eastAsia="仿宋_GB2312"/>
                <w:sz w:val="20"/>
              </w:rPr>
              <w:t>活动组织不低于</w:t>
            </w:r>
            <w:r>
              <w:rPr>
                <w:rFonts w:ascii="仿宋_GB2312" w:hAnsi="仿宋_GB2312" w:cs="仿宋_GB2312" w:eastAsia="仿宋_GB2312"/>
                <w:sz w:val="20"/>
              </w:rPr>
              <w:t>60家用人单位参会。）</w:t>
            </w:r>
          </w:p>
          <w:p>
            <w:pPr>
              <w:pStyle w:val="null3"/>
            </w:pPr>
            <w:r>
              <w:rPr>
                <w:rFonts w:ascii="仿宋_GB2312" w:hAnsi="仿宋_GB2312" w:cs="仿宋_GB2312" w:eastAsia="仿宋_GB2312"/>
                <w:sz w:val="20"/>
              </w:rPr>
              <w:t>（二）西安人才直播间（</w:t>
            </w:r>
            <w:r>
              <w:rPr>
                <w:rFonts w:ascii="仿宋_GB2312" w:hAnsi="仿宋_GB2312" w:cs="仿宋_GB2312" w:eastAsia="仿宋_GB2312"/>
                <w:sz w:val="20"/>
              </w:rPr>
              <w:t>10场）</w:t>
            </w:r>
          </w:p>
          <w:p>
            <w:pPr>
              <w:pStyle w:val="null3"/>
            </w:pPr>
            <w:r>
              <w:rPr>
                <w:rFonts w:ascii="仿宋_GB2312" w:hAnsi="仿宋_GB2312" w:cs="仿宋_GB2312" w:eastAsia="仿宋_GB2312"/>
                <w:sz w:val="20"/>
              </w:rPr>
              <w:t>1.直播带岗：邀请重点行业代表、重点单位HR做客直播间，在线为广大求职者介绍行业发展前景，推介就业岗位、招聘需求、薪资待遇等。</w:t>
            </w:r>
          </w:p>
          <w:p>
            <w:pPr>
              <w:pStyle w:val="null3"/>
            </w:pPr>
            <w:r>
              <w:rPr>
                <w:rFonts w:ascii="仿宋_GB2312" w:hAnsi="仿宋_GB2312" w:cs="仿宋_GB2312" w:eastAsia="仿宋_GB2312"/>
                <w:sz w:val="20"/>
              </w:rPr>
              <w:t>2.直播推才：邀请高校老师展示学校优势学科、专业特色、人才培养成果，介绍就业服务举措，向广大用人单位推介优秀毕业生。</w:t>
            </w:r>
          </w:p>
          <w:p>
            <w:pPr>
              <w:pStyle w:val="null3"/>
            </w:pPr>
            <w:r>
              <w:rPr>
                <w:rFonts w:ascii="仿宋_GB2312" w:hAnsi="仿宋_GB2312" w:cs="仿宋_GB2312" w:eastAsia="仿宋_GB2312"/>
                <w:sz w:val="20"/>
              </w:rPr>
              <w:t>3.政策宣讲：邀请市级和区县、开发区相关业务工作人员做客直播间进行就业创业、人才认定、档案、党务等政策讲解，提高政策知晓度和利用率。</w:t>
            </w:r>
          </w:p>
          <w:p>
            <w:pPr>
              <w:pStyle w:val="null3"/>
            </w:pPr>
            <w:r>
              <w:rPr>
                <w:rFonts w:ascii="仿宋_GB2312" w:hAnsi="仿宋_GB2312" w:cs="仿宋_GB2312" w:eastAsia="仿宋_GB2312"/>
                <w:sz w:val="20"/>
              </w:rPr>
              <w:t>4.就业指导：邀请就业指导师做客直播间开展职业规划、简历制作、求职技能、权益保护等方面的就业指导课程。</w:t>
            </w:r>
          </w:p>
          <w:p>
            <w:pPr>
              <w:pStyle w:val="null3"/>
            </w:pPr>
            <w:r>
              <w:rPr>
                <w:rFonts w:ascii="仿宋_GB2312" w:hAnsi="仿宋_GB2312" w:cs="仿宋_GB2312" w:eastAsia="仿宋_GB2312"/>
                <w:sz w:val="20"/>
              </w:rPr>
              <w:t>（三）网络招聘会（</w:t>
            </w:r>
            <w:r>
              <w:rPr>
                <w:rFonts w:ascii="仿宋_GB2312" w:hAnsi="仿宋_GB2312" w:cs="仿宋_GB2312" w:eastAsia="仿宋_GB2312"/>
                <w:sz w:val="20"/>
              </w:rPr>
              <w:t>5场）</w:t>
            </w:r>
          </w:p>
          <w:p>
            <w:pPr>
              <w:pStyle w:val="null3"/>
            </w:pPr>
            <w:r>
              <w:rPr>
                <w:rFonts w:ascii="仿宋_GB2312" w:hAnsi="仿宋_GB2312" w:cs="仿宋_GB2312" w:eastAsia="仿宋_GB2312"/>
                <w:sz w:val="20"/>
              </w:rPr>
              <w:t>为提升人才市场服务效能，我们将采取线上线下联动模式，在举办现场招聘会的同时配套开展网络招聘活动。通过搭建专业化线上招聘平台，为求职者和用人单位提供全天候、多渠道的精准对接服务。每场招聘活动将组织不少于</w:t>
            </w:r>
            <w:r>
              <w:rPr>
                <w:rFonts w:ascii="仿宋_GB2312" w:hAnsi="仿宋_GB2312" w:cs="仿宋_GB2312" w:eastAsia="仿宋_GB2312"/>
                <w:sz w:val="20"/>
              </w:rPr>
              <w:t>200家优质企业参与，增大招聘服务覆盖面。</w:t>
            </w:r>
          </w:p>
          <w:p>
            <w:pPr>
              <w:pStyle w:val="null3"/>
            </w:pPr>
            <w:r>
              <w:rPr>
                <w:rFonts w:ascii="仿宋_GB2312" w:hAnsi="仿宋_GB2312" w:cs="仿宋_GB2312" w:eastAsia="仿宋_GB2312"/>
                <w:sz w:val="20"/>
              </w:rPr>
              <w:t>四、活动准备</w:t>
            </w:r>
          </w:p>
          <w:p>
            <w:pPr>
              <w:pStyle w:val="null3"/>
            </w:pPr>
            <w:r>
              <w:rPr>
                <w:rFonts w:ascii="仿宋_GB2312" w:hAnsi="仿宋_GB2312" w:cs="仿宋_GB2312" w:eastAsia="仿宋_GB2312"/>
                <w:sz w:val="20"/>
              </w:rPr>
              <w:t>（一）场地布置：现场招聘会划分企业招聘区、求职者咨询区、政策宣传区。在场地设置大型指示牌，引导用人单位和求职者；直播带岗提前布置直播场地，确保设备正常运行，提供平台和网络支持。</w:t>
            </w:r>
          </w:p>
          <w:p>
            <w:pPr>
              <w:pStyle w:val="null3"/>
            </w:pPr>
            <w:r>
              <w:rPr>
                <w:rFonts w:ascii="仿宋_GB2312" w:hAnsi="仿宋_GB2312" w:cs="仿宋_GB2312" w:eastAsia="仿宋_GB2312"/>
                <w:sz w:val="20"/>
              </w:rPr>
              <w:t>（二）企业邀约：提前一周通过线上平台、微信公众号、电话、邮件等方式邀请企业报名，收集企业招聘信息，制作招聘简章。在邀约企业参会过程中须严格核实所有参会单位资质及基本情况，保证参会单位合规合法、无不良记录，保证招聘信息真实有效。现场招聘会每场活动邀约不低于</w:t>
            </w:r>
            <w:r>
              <w:rPr>
                <w:rFonts w:ascii="仿宋_GB2312" w:hAnsi="仿宋_GB2312" w:cs="仿宋_GB2312" w:eastAsia="仿宋_GB2312"/>
                <w:sz w:val="20"/>
              </w:rPr>
              <w:t>60家企业参会，直播带岗每场活动在当天参会企业中筛选5家优质重点企业参会，并对所有参会企业进行电话逐个通知，确保活动当天企业准时准点参加。</w:t>
            </w:r>
          </w:p>
          <w:p>
            <w:pPr>
              <w:pStyle w:val="null3"/>
            </w:pPr>
            <w:r>
              <w:rPr>
                <w:rFonts w:ascii="仿宋_GB2312" w:hAnsi="仿宋_GB2312" w:cs="仿宋_GB2312" w:eastAsia="仿宋_GB2312"/>
                <w:sz w:val="20"/>
              </w:rPr>
              <w:t>（三）宣传推广：提前通过媒体、高校就业网、微信公众号等渠道发布活动信息，提升活动影响力和扩大受益面。</w:t>
            </w:r>
          </w:p>
          <w:p>
            <w:pPr>
              <w:pStyle w:val="null3"/>
            </w:pPr>
            <w:r>
              <w:rPr>
                <w:rFonts w:ascii="仿宋_GB2312" w:hAnsi="仿宋_GB2312" w:cs="仿宋_GB2312" w:eastAsia="仿宋_GB2312"/>
                <w:sz w:val="20"/>
              </w:rPr>
              <w:t>（四）物料设计：安排专业设计人员针对每场活动主题特点、行业类型、服务群体制作企业简章、主</w:t>
            </w:r>
            <w:r>
              <w:rPr>
                <w:rFonts w:ascii="仿宋_GB2312" w:hAnsi="仿宋_GB2312" w:cs="仿宋_GB2312" w:eastAsia="仿宋_GB2312"/>
                <w:sz w:val="20"/>
              </w:rPr>
              <w:t>K、宣传手册、直播带岗手卡、麦标、桌牌、手持互动异形牌等活动物料。</w:t>
            </w:r>
          </w:p>
          <w:p>
            <w:pPr>
              <w:pStyle w:val="null3"/>
            </w:pPr>
            <w:r>
              <w:rPr>
                <w:rFonts w:ascii="仿宋_GB2312" w:hAnsi="仿宋_GB2312" w:cs="仿宋_GB2312" w:eastAsia="仿宋_GB2312"/>
                <w:sz w:val="20"/>
              </w:rPr>
              <w:t>（五）物资准备：现场招聘会准备求职登记表、笔、饮用水、快餐、宣传资料，其中快餐须配备专人对接保障食品安全；直播带岗准备好音响、灯光、麦克风、摄像头等直播设备。</w:t>
            </w:r>
          </w:p>
          <w:p>
            <w:pPr>
              <w:pStyle w:val="null3"/>
            </w:pPr>
            <w:r>
              <w:rPr>
                <w:rFonts w:ascii="仿宋_GB2312" w:hAnsi="仿宋_GB2312" w:cs="仿宋_GB2312" w:eastAsia="仿宋_GB2312"/>
                <w:sz w:val="20"/>
              </w:rPr>
              <w:t>（六）后勤保障：每场活动安排至少</w:t>
            </w:r>
            <w:r>
              <w:rPr>
                <w:rFonts w:ascii="仿宋_GB2312" w:hAnsi="仿宋_GB2312" w:cs="仿宋_GB2312" w:eastAsia="仿宋_GB2312"/>
                <w:sz w:val="20"/>
              </w:rPr>
              <w:t>4名安保人员保障现场活动安全秩序；安排2名保洁人员会前对场地进行全面清扫，会后清理现场垃圾、桌椅归位、全面清洁和消毒，为后续使用做好准备。</w:t>
            </w:r>
          </w:p>
          <w:p>
            <w:pPr>
              <w:pStyle w:val="null3"/>
            </w:pPr>
            <w:r>
              <w:rPr>
                <w:rFonts w:ascii="仿宋_GB2312" w:hAnsi="仿宋_GB2312" w:cs="仿宋_GB2312" w:eastAsia="仿宋_GB2312"/>
                <w:sz w:val="20"/>
              </w:rPr>
              <w:t>（七）系统维护：对橱窗电子屏、场地电子屏、招聘岗位发布等设备系统定期进行维护、信息更新。对直播带岗平台留言、提问、后台数据及时回复和反馈。</w:t>
            </w:r>
          </w:p>
          <w:p>
            <w:pPr>
              <w:pStyle w:val="null3"/>
            </w:pPr>
            <w:r>
              <w:rPr>
                <w:rFonts w:ascii="仿宋_GB2312" w:hAnsi="仿宋_GB2312" w:cs="仿宋_GB2312" w:eastAsia="仿宋_GB2312"/>
                <w:sz w:val="20"/>
              </w:rPr>
              <w:t>五、活动要求</w:t>
            </w:r>
          </w:p>
          <w:p>
            <w:pPr>
              <w:pStyle w:val="null3"/>
            </w:pPr>
            <w:r>
              <w:rPr>
                <w:rFonts w:ascii="仿宋_GB2312" w:hAnsi="仿宋_GB2312" w:cs="仿宋_GB2312" w:eastAsia="仿宋_GB2312"/>
                <w:sz w:val="20"/>
              </w:rPr>
              <w:t>（一）加强市区联动。建立市区联动工作机制，统筹调动全市企业资源，全面收集各类企业招聘信息，涵盖不同行业、规模和岗位层次，为求职者提供丰富选择。</w:t>
            </w:r>
          </w:p>
          <w:p>
            <w:pPr>
              <w:pStyle w:val="null3"/>
            </w:pPr>
            <w:r>
              <w:rPr>
                <w:rFonts w:ascii="仿宋_GB2312" w:hAnsi="仿宋_GB2312" w:cs="仿宋_GB2312" w:eastAsia="仿宋_GB2312"/>
                <w:sz w:val="20"/>
              </w:rPr>
              <w:t>（二）打造共享市场。为区县、开发区公共就业和人才服务机构、高校、重点企业免费提供招聘、面试、宣讲等活动场地。</w:t>
            </w:r>
          </w:p>
          <w:p>
            <w:pPr>
              <w:pStyle w:val="null3"/>
            </w:pPr>
            <w:r>
              <w:rPr>
                <w:rFonts w:ascii="仿宋_GB2312" w:hAnsi="仿宋_GB2312" w:cs="仿宋_GB2312" w:eastAsia="仿宋_GB2312"/>
                <w:sz w:val="20"/>
              </w:rPr>
              <w:t>（三）深化数字赋能。建立</w:t>
            </w:r>
            <w:r>
              <w:rPr>
                <w:rFonts w:ascii="仿宋_GB2312" w:hAnsi="仿宋_GB2312" w:cs="仿宋_GB2312" w:eastAsia="仿宋_GB2312"/>
                <w:sz w:val="20"/>
              </w:rPr>
              <w:t>“人才市场智慧招聘平台”，加快应用大数据、AI等新技术手段，精准推送活动信息、招聘岗位、简历筛选等方面智能化水平，为用人单位和求职者提供更加个性化、精准化的招聘与求职体验。</w:t>
            </w:r>
          </w:p>
          <w:p>
            <w:pPr>
              <w:pStyle w:val="null3"/>
            </w:pPr>
            <w:r>
              <w:rPr>
                <w:rFonts w:ascii="仿宋_GB2312" w:hAnsi="仿宋_GB2312" w:cs="仿宋_GB2312" w:eastAsia="仿宋_GB2312"/>
                <w:sz w:val="20"/>
              </w:rPr>
              <w:t>（四）助力民企发展。为推动民营经济实现更高质量的发展，采取多种措施促进就业，通过微信公众号、人才市场橱窗大屏、西安市公共招聘网发布民营企业招聘信息，拓宽就业渠道，促进民企与求职者高效对接</w:t>
            </w:r>
            <w:r>
              <w:rPr>
                <w:rFonts w:ascii="仿宋_GB2312" w:hAnsi="仿宋_GB2312" w:cs="仿宋_GB2312" w:eastAsia="仿宋_GB2312"/>
                <w:sz w:val="20"/>
              </w:rPr>
              <w:t>。</w:t>
            </w:r>
          </w:p>
          <w:tbl>
            <w:tblPr>
              <w:tblBorders>
                <w:top w:val="none" w:color="000000" w:sz="4"/>
                <w:left w:val="none" w:color="000000" w:sz="4"/>
                <w:bottom w:val="none" w:color="000000" w:sz="4"/>
                <w:right w:val="none" w:color="000000" w:sz="4"/>
                <w:insideH w:val="none"/>
                <w:insideV w:val="none"/>
              </w:tblBorders>
            </w:tblPr>
            <w:tblGrid>
              <w:gridCol w:w="408"/>
              <w:gridCol w:w="576"/>
              <w:gridCol w:w="1412"/>
              <w:gridCol w:w="235"/>
              <w:gridCol w:w="285"/>
              <w:gridCol w:w="254"/>
            </w:tblGrid>
            <w:tr>
              <w:tc>
                <w:tcPr>
                  <w:tcW w:type="dxa" w:w="40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活动主题</w:t>
                  </w:r>
                </w:p>
              </w:tc>
              <w:tc>
                <w:tcPr>
                  <w:tcW w:type="dxa" w:w="57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项目</w:t>
                  </w:r>
                </w:p>
              </w:tc>
              <w:tc>
                <w:tcPr>
                  <w:tcW w:type="dxa" w:w="14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规格</w:t>
                  </w:r>
                </w:p>
              </w:tc>
              <w:tc>
                <w:tcPr>
                  <w:tcW w:type="dxa" w:w="2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2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2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周期</w:t>
                  </w:r>
                  <w:r>
                    <w:rPr>
                      <w:rFonts w:ascii="仿宋_GB2312" w:hAnsi="仿宋_GB2312" w:cs="仿宋_GB2312" w:eastAsia="仿宋_GB2312"/>
                      <w:sz w:val="20"/>
                      <w:b/>
                    </w:rPr>
                    <w:t>/场</w:t>
                  </w:r>
                </w:p>
              </w:tc>
            </w:tr>
            <w:tr>
              <w:tc>
                <w:tcPr>
                  <w:tcW w:type="dxa" w:w="4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现场招聘会</w:t>
                  </w:r>
                  <w:r>
                    <w:br/>
                  </w:r>
                  <w:r>
                    <w:rPr>
                      <w:rFonts w:ascii="仿宋_GB2312" w:hAnsi="仿宋_GB2312" w:cs="仿宋_GB2312" w:eastAsia="仿宋_GB2312"/>
                      <w:sz w:val="20"/>
                      <w:b/>
                    </w:rPr>
                    <w:t>（</w:t>
                  </w:r>
                  <w:r>
                    <w:rPr>
                      <w:rFonts w:ascii="仿宋_GB2312" w:hAnsi="仿宋_GB2312" w:cs="仿宋_GB2312" w:eastAsia="仿宋_GB2312"/>
                      <w:sz w:val="20"/>
                      <w:b/>
                    </w:rPr>
                    <w:t>35场）</w:t>
                  </w:r>
                </w:p>
              </w:tc>
              <w:tc>
                <w:tcPr>
                  <w:tcW w:type="dxa" w:w="57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活动主</w:t>
                  </w:r>
                  <w:r>
                    <w:rPr>
                      <w:rFonts w:ascii="仿宋_GB2312" w:hAnsi="仿宋_GB2312" w:cs="仿宋_GB2312" w:eastAsia="仿宋_GB2312"/>
                      <w:sz w:val="20"/>
                    </w:rPr>
                    <w:t>K及海报设计</w:t>
                  </w:r>
                </w:p>
              </w:tc>
              <w:tc>
                <w:tcPr>
                  <w:tcW w:type="dxa" w:w="1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主视觉设计、招聘海报、横幅、宣传资料、直播带岗等</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08"/>
                  <w:vMerge/>
                  <w:tcBorders>
                    <w:top w:val="none" w:color="000000" w:sz="4"/>
                    <w:left w:val="single" w:color="000000" w:sz="4"/>
                    <w:bottom w:val="single" w:color="000000" w:sz="4"/>
                    <w:right w:val="single" w:color="000000" w:sz="4"/>
                  </w:tcBorders>
                </w:tcP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招聘海报制作</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pp合成纸1*1.2m（200克以上，覆膜，含制作、打印、运输、布展）</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张</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r>
            <w:tr>
              <w:tc>
                <w:tcPr>
                  <w:tcW w:type="dxa" w:w="408"/>
                  <w:vMerge/>
                  <w:tcBorders>
                    <w:top w:val="none" w:color="000000" w:sz="4"/>
                    <w:left w:val="single" w:color="000000" w:sz="4"/>
                    <w:bottom w:val="single" w:color="000000" w:sz="4"/>
                    <w:right w:val="single" w:color="000000" w:sz="4"/>
                  </w:tcBorders>
                </w:tcP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招聘会饮用水</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标准饮用水</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瓶</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r>
            <w:tr>
              <w:tc>
                <w:tcPr>
                  <w:tcW w:type="dxa" w:w="408"/>
                  <w:vMerge/>
                  <w:tcBorders>
                    <w:top w:val="none" w:color="000000" w:sz="4"/>
                    <w:left w:val="single" w:color="000000" w:sz="4"/>
                    <w:bottom w:val="single" w:color="000000" w:sz="4"/>
                    <w:right w:val="single" w:color="000000" w:sz="4"/>
                  </w:tcBorders>
                </w:tcP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快餐费</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盒饭（快餐）</w:t>
                  </w:r>
                  <w:r>
                    <w:rPr>
                      <w:rFonts w:ascii="仿宋_GB2312" w:hAnsi="仿宋_GB2312" w:cs="仿宋_GB2312" w:eastAsia="仿宋_GB2312"/>
                      <w:sz w:val="20"/>
                    </w:rPr>
                    <w:t>,含保洁、安保、工作人员</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160</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份</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r>
            <w:tr>
              <w:tc>
                <w:tcPr>
                  <w:tcW w:type="dxa" w:w="408"/>
                  <w:vMerge/>
                  <w:tcBorders>
                    <w:top w:val="none" w:color="000000" w:sz="4"/>
                    <w:left w:val="single" w:color="000000" w:sz="4"/>
                    <w:bottom w:val="single" w:color="000000" w:sz="4"/>
                    <w:right w:val="single" w:color="000000" w:sz="4"/>
                  </w:tcBorders>
                </w:tcP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保洁费</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含会场保洁、会后打扫清理、垃圾清运</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r>
            <w:tr>
              <w:tc>
                <w:tcPr>
                  <w:tcW w:type="dxa" w:w="408"/>
                  <w:vMerge/>
                  <w:tcBorders>
                    <w:top w:val="none" w:color="000000" w:sz="4"/>
                    <w:left w:val="single" w:color="000000" w:sz="4"/>
                    <w:bottom w:val="single" w:color="000000" w:sz="4"/>
                    <w:right w:val="single" w:color="000000" w:sz="4"/>
                  </w:tcBorders>
                </w:tcP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安保费</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会场秩序维护</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r>
            <w:tr>
              <w:tc>
                <w:tcPr>
                  <w:tcW w:type="dxa" w:w="408"/>
                  <w:vMerge/>
                  <w:tcBorders>
                    <w:top w:val="none" w:color="000000" w:sz="4"/>
                    <w:left w:val="single" w:color="000000" w:sz="4"/>
                    <w:bottom w:val="single" w:color="000000" w:sz="4"/>
                    <w:right w:val="single" w:color="000000" w:sz="4"/>
                  </w:tcBorders>
                </w:tcP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横幅</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15m</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r>
            <w:tr>
              <w:tc>
                <w:tcPr>
                  <w:tcW w:type="dxa" w:w="408"/>
                  <w:vMerge/>
                  <w:tcBorders>
                    <w:top w:val="none" w:color="000000" w:sz="4"/>
                    <w:left w:val="single" w:color="000000" w:sz="4"/>
                    <w:bottom w:val="single" w:color="000000" w:sz="4"/>
                    <w:right w:val="single" w:color="000000" w:sz="4"/>
                  </w:tcBorders>
                </w:tcP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门型展板展架</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展示招聘信息及报名通道</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08"/>
                  <w:vMerge/>
                  <w:tcBorders>
                    <w:top w:val="none" w:color="000000" w:sz="4"/>
                    <w:left w:val="single" w:color="000000" w:sz="4"/>
                    <w:bottom w:val="single" w:color="000000" w:sz="4"/>
                    <w:right w:val="single" w:color="000000" w:sz="4"/>
                  </w:tcBorders>
                </w:tcPr>
                <w:p/>
              </w:tc>
              <w:tc>
                <w:tcPr>
                  <w:tcW w:type="dxa" w:w="5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会务用品</w:t>
                  </w:r>
                </w:p>
              </w:tc>
              <w:tc>
                <w:tcPr>
                  <w:tcW w:type="dxa" w:w="14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含招聘表格、企业招聘情况统计表、</w:t>
                  </w:r>
                  <w:r>
                    <w:rPr>
                      <w:rFonts w:ascii="仿宋_GB2312" w:hAnsi="仿宋_GB2312" w:cs="仿宋_GB2312" w:eastAsia="仿宋_GB2312"/>
                      <w:sz w:val="20"/>
                    </w:rPr>
                    <w:t>2支签字笔、白板笔、磁吸扣</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w:t>
                  </w:r>
                </w:p>
              </w:tc>
              <w:tc>
                <w:tcPr>
                  <w:tcW w:type="dxa" w:w="2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份</w:t>
                  </w: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r>
            <w:tr>
              <w:tc>
                <w:tcPr>
                  <w:tcW w:type="dxa" w:w="408"/>
                  <w:vMerge/>
                  <w:tcBorders>
                    <w:top w:val="none" w:color="000000" w:sz="4"/>
                    <w:left w:val="single" w:color="000000" w:sz="4"/>
                    <w:bottom w:val="single" w:color="000000" w:sz="4"/>
                    <w:right w:val="single" w:color="000000" w:sz="4"/>
                  </w:tcBorders>
                </w:tcP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医药箱</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常备药品</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箱</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4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网络招聘会</w:t>
                  </w:r>
                  <w:r>
                    <w:br/>
                  </w:r>
                  <w:r>
                    <w:rPr>
                      <w:rFonts w:ascii="仿宋_GB2312" w:hAnsi="仿宋_GB2312" w:cs="仿宋_GB2312" w:eastAsia="仿宋_GB2312"/>
                      <w:sz w:val="20"/>
                      <w:b/>
                    </w:rPr>
                    <w:t>(5场)</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空中双选会平台</w:t>
                  </w:r>
                  <w:r>
                    <w:rPr>
                      <w:rFonts w:ascii="仿宋_GB2312" w:hAnsi="仿宋_GB2312" w:cs="仿宋_GB2312" w:eastAsia="仿宋_GB2312"/>
                      <w:sz w:val="20"/>
                    </w:rPr>
                    <w:t>(招聘系统)</w:t>
                  </w:r>
                </w:p>
              </w:tc>
              <w:tc>
                <w:tcPr>
                  <w:tcW w:type="dxa" w:w="141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配套招聘网站、视频面试系统、提供全程网络技术支持</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r>
            <w:tr>
              <w:tc>
                <w:tcPr>
                  <w:tcW w:type="dxa" w:w="408"/>
                  <w:vMerge/>
                  <w:tcBorders>
                    <w:top w:val="none" w:color="000000" w:sz="4"/>
                    <w:left w:val="single" w:color="000000" w:sz="4"/>
                    <w:bottom w:val="single" w:color="000000" w:sz="4"/>
                    <w:right w:val="single" w:color="000000" w:sz="4"/>
                  </w:tcBorders>
                </w:tcPr>
                <w:p/>
              </w:tc>
              <w:tc>
                <w:tcPr>
                  <w:tcW w:type="dxa" w:w="5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活动官网搭建</w:t>
                  </w:r>
                </w:p>
              </w:tc>
              <w:tc>
                <w:tcPr>
                  <w:tcW w:type="dxa" w:w="1412"/>
                  <w:vMerge/>
                  <w:tcBorders>
                    <w:top w:val="none" w:color="000000" w:sz="4"/>
                    <w:left w:val="none" w:color="000000" w:sz="4"/>
                    <w:bottom w:val="single" w:color="000000" w:sz="4"/>
                    <w:right w:val="single" w:color="000000" w:sz="4"/>
                  </w:tcBorders>
                </w:tcP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r>
            <w:tr>
              <w:tc>
                <w:tcPr>
                  <w:tcW w:type="dxa" w:w="4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西安人才直播间</w:t>
                  </w:r>
                  <w:r>
                    <w:br/>
                  </w:r>
                  <w:r>
                    <w:rPr>
                      <w:rFonts w:ascii="仿宋_GB2312" w:hAnsi="仿宋_GB2312" w:cs="仿宋_GB2312" w:eastAsia="仿宋_GB2312"/>
                      <w:sz w:val="20"/>
                      <w:b/>
                    </w:rPr>
                    <w:t>（</w:t>
                  </w:r>
                  <w:r>
                    <w:rPr>
                      <w:rFonts w:ascii="仿宋_GB2312" w:hAnsi="仿宋_GB2312" w:cs="仿宋_GB2312" w:eastAsia="仿宋_GB2312"/>
                      <w:sz w:val="20"/>
                      <w:b/>
                    </w:rPr>
                    <w:t>10场）</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云招聘平台</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含直播网页搭建（求职者可通过手机或电脑收看直播回放）</w:t>
                  </w:r>
                  <w:r>
                    <w:rPr>
                      <w:rFonts w:ascii="仿宋_GB2312" w:hAnsi="仿宋_GB2312" w:cs="仿宋_GB2312" w:eastAsia="仿宋_GB2312"/>
                      <w:sz w:val="20"/>
                    </w:rPr>
                    <w:t>+直播互动（求职者观看期间可通过弹幕及评论进行互动）+简历投递（求职者可快速填写或导入个人简历，统计投递记录）并推流至本地知名媒体</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场</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r>
            <w:tr>
              <w:tc>
                <w:tcPr>
                  <w:tcW w:type="dxa" w:w="408"/>
                  <w:vMerge/>
                  <w:tcBorders>
                    <w:top w:val="none" w:color="000000" w:sz="4"/>
                    <w:left w:val="single" w:color="000000" w:sz="4"/>
                    <w:bottom w:val="single" w:color="000000" w:sz="4"/>
                    <w:right w:val="single" w:color="000000" w:sz="4"/>
                  </w:tcBorders>
                </w:tcP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直播设备</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租赁摄影机</w:t>
                  </w:r>
                  <w:r>
                    <w:rPr>
                      <w:rFonts w:ascii="仿宋_GB2312" w:hAnsi="仿宋_GB2312" w:cs="仿宋_GB2312" w:eastAsia="仿宋_GB2312"/>
                      <w:sz w:val="20"/>
                    </w:rPr>
                    <w:t>2台、导播台1套、收音设备等</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r>
            <w:tr>
              <w:tc>
                <w:tcPr>
                  <w:tcW w:type="dxa" w:w="408"/>
                  <w:vMerge/>
                  <w:tcBorders>
                    <w:top w:val="none" w:color="000000" w:sz="4"/>
                    <w:left w:val="single" w:color="000000" w:sz="4"/>
                    <w:bottom w:val="single" w:color="000000" w:sz="4"/>
                    <w:right w:val="single" w:color="000000" w:sz="4"/>
                  </w:tcBorders>
                </w:tcP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直播间背景板</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异形直播背景板制作及搭建</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408"/>
                  <w:vMerge/>
                  <w:tcBorders>
                    <w:top w:val="none" w:color="000000" w:sz="4"/>
                    <w:left w:val="single" w:color="000000" w:sz="4"/>
                    <w:bottom w:val="single" w:color="000000" w:sz="4"/>
                    <w:right w:val="single" w:color="000000" w:sz="4"/>
                  </w:tcBorders>
                </w:tcP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物料制作</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含企业二维码展板、主持人手卡、麦标、桌牌、直播盒子等周边物料设计</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r>
          </w:tbl>
          <w:p>
            <w:pPr>
              <w:pStyle w:val="null3"/>
            </w:pPr>
            <w:r>
              <w:rPr>
                <w:rFonts w:ascii="仿宋_GB2312" w:hAnsi="仿宋_GB2312" w:cs="仿宋_GB2312" w:eastAsia="仿宋_GB2312"/>
                <w:sz w:val="20"/>
              </w:rPr>
              <w:t>（一）与活动有关的设计产品（含源文件）、数据资料和分析成果所有权归采购单位所有。</w:t>
            </w:r>
          </w:p>
          <w:p>
            <w:pPr>
              <w:pStyle w:val="null3"/>
            </w:pPr>
            <w:r>
              <w:rPr>
                <w:rFonts w:ascii="仿宋_GB2312" w:hAnsi="仿宋_GB2312" w:cs="仿宋_GB2312" w:eastAsia="仿宋_GB2312"/>
                <w:sz w:val="20"/>
              </w:rPr>
              <w:t>（二）采购单位将按工作要求分阶段进行采购项目的检查验收，如果发现与采购要求不符或与中标文件不符等问题，成交人应当按要求采取补救处理措施，并承担相关质量保证责任。若活动结束时仍未按采购要求完成补救处理的，采购人将按未落实项目扣除相应费用。</w:t>
            </w:r>
          </w:p>
          <w:p>
            <w:pPr>
              <w:pStyle w:val="null3"/>
              <w:jc w:val="both"/>
            </w:pPr>
            <w:r>
              <w:rPr>
                <w:rFonts w:ascii="仿宋_GB2312" w:hAnsi="仿宋_GB2312" w:cs="仿宋_GB2312" w:eastAsia="仿宋_GB2312"/>
                <w:sz w:val="20"/>
              </w:rPr>
              <w:t>（三）对于在活动筹备、执行期间突发且与工作有关的相关内容，但未在磋商文件中体现与明确的，成交人有义务配合采购方开展相关工作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按项目需求配置，最终人员数量以采购人根据活动实际情况要求的数量为准，供应商应充分考虑</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按项目需求配置，最终设施设备要求以采购人根据活动实际情况要求的数量为准，供应商应充分考虑。</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自合同签订之日起，至2025年12月10日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西安市人才服务中心指定地点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签订合同后，达到付款条件起10日内，支付合同总金额的50.00%。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所有服务完成前期规划设计且经采购人确认后，达到付款条件起10日内，支付合同总金额的30.00%。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所有服务提供完毕且经采购人验收合格后，达到付款条件起10日内，支付合同总金额的20.00%。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顺利推进政府采购电子化交易平台应用工作，供应商需要在线提交所有通过电子化交易平台实施的政府采购项目的响应文件，同时，线下提交纸质版响应文件，正本壹份、副本贰份。若线上电子响应文件与纸质响应文件不一致的，以线上电子响应文件为准；若正本和副本不符，以正本为准。线下递交文件时间：详见本项目磋商公告提交响应文件截止时间；线下递交文件地点：西安市莲湖区环城西路南段元晟合中心6层； 2、磋商保证金注意事项：（1）磋商保证金须从供应商户名支付，如从个人户名或非供应商户名支付，将被拒绝，视为自动放弃投标权利（该个人是供应商的情形除外）；以保函形式交纳磋商保证金的，供应商应在响应截止时间前将保函扫描成清晰的PDF文件，发送至邮箱453963218@qq.com（邮件命名：项目编号），并将保函原件单独递交至代理机构财务；供应商应在磋商文件中附保函复印件。保函必须由具有开具投标保函资格的单位开具；若供应商违约，开具保函单位承担连带责任；（2）磋商保证金的提交金额、时间不满足磋商文件要求的，磋商无效；（3）磋商保证金以采购代理机构到账凭证为准，供应商无需更换交纳凭证，由采购代理机构统一提供。（4）未按指定账户提交的，我公司将退回，供应商须在文件递交截止时间前按照指定账户再次提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4月1日以来至少一个月的纳税证明或完税证明，纳税证明或完税证明上应有代收机构或税务机关的公章或业务专用章；其他组织和自然人提供自2024年4月1日以来至少一个月缴纳税收的凭据；依法免税的或者依法不需缴税的供应商应提供相关文件证明； ③社会保障资金缴纳证明：提供自2024年4月1日以来至少一个月已缴纳的社会保障资金的证明（社会保障资金缴存单据或社保机构开具 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注：以上②-③项，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3资格证明文件.docx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财务状况报告：法人提供会计师事务所出具有效的2023年度或2024年度审计报告（成立时间至提交响应文件截止时间不足一年的可提供成立后任意时段的资产负债表），或提交自2024年10月1日以来银行出具的资信证明，或信用担保机构出具的投标担保函（以上三种形式的资料提供任何一种即可）；其他组织和自然人提供银行出具 的资信证明或财务报表； 注：此项资格提供“陕西省政府采购供应商信用承诺书”的，可不再提供其他证明文件。</w:t>
            </w:r>
          </w:p>
        </w:tc>
        <w:tc>
          <w:tcPr>
            <w:tcW w:type="dxa" w:w="1661"/>
          </w:tcPr>
          <w:p>
            <w:pPr>
              <w:pStyle w:val="null3"/>
            </w:pPr>
            <w:r>
              <w:rPr>
                <w:rFonts w:ascii="仿宋_GB2312" w:hAnsi="仿宋_GB2312" w:cs="仿宋_GB2312" w:eastAsia="仿宋_GB2312"/>
              </w:rPr>
              <w:t>3资格证明文件.docx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供应商需在项目电子化交易系统中按要求填写《投标函》完成承诺并进行电子签章。提供直接控股和直接管理关系清单。若与其他供应商存在单位负责人为同一人或者存在直接控股、管理关系的，则响应无效。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3资格证明文件.docx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采购，投标人应为中型企业或小型、微型企业或监狱企业或残疾人福利性单位。投标人为中型、小型、微型企业的，提供《中小企业声明函》；投标人为监狱企业的，应提供监狱企业的证明文件；投标人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法定代表人授权委托书：法定代表人参加磋商的，须出示身份证；法定代表人授权本单位他人参加磋商的，须提供法定代表人授权委托书。</w:t>
            </w:r>
          </w:p>
        </w:tc>
        <w:tc>
          <w:tcPr>
            <w:tcW w:type="dxa" w:w="1661"/>
          </w:tcPr>
          <w:p>
            <w:pPr>
              <w:pStyle w:val="null3"/>
            </w:pPr>
            <w:r>
              <w:rPr>
                <w:rFonts w:ascii="仿宋_GB2312" w:hAnsi="仿宋_GB2312" w:cs="仿宋_GB2312" w:eastAsia="仿宋_GB2312"/>
              </w:rPr>
              <w:t>3资格证明文件.docx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本项目不接受联合体磋商，供应商应提供《非联合体投标声明》。</w:t>
            </w:r>
          </w:p>
        </w:tc>
        <w:tc>
          <w:tcPr>
            <w:tcW w:type="dxa" w:w="1661"/>
          </w:tcPr>
          <w:p>
            <w:pPr>
              <w:pStyle w:val="null3"/>
            </w:pPr>
            <w:r>
              <w:rPr>
                <w:rFonts w:ascii="仿宋_GB2312" w:hAnsi="仿宋_GB2312" w:cs="仿宋_GB2312" w:eastAsia="仿宋_GB2312"/>
              </w:rPr>
              <w:t>3资格证明文件.docx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有下列情形之一的，应在符合性审查时按照无效磋商处理：(1)磋商响应文件未按照磋商文件规定要求签署、盖章的；(2)不满足本磋商文件中“服务期限、服务地点、采购资金的支付方式及约定、3.2.2服务要求中“★”项条款”的实质性条款要求的；(3)文件有效期不足的或无有效期的；(4)报价超过磋商文件中规定预算金额或最高限价的；(5)法律、法规和磋商文件规定的其他无效情形。</w:t>
            </w:r>
          </w:p>
        </w:tc>
        <w:tc>
          <w:tcPr>
            <w:tcW w:type="dxa" w:w="1661"/>
          </w:tcPr>
          <w:p>
            <w:pPr>
              <w:pStyle w:val="null3"/>
            </w:pPr>
            <w:r>
              <w:rPr>
                <w:rFonts w:ascii="仿宋_GB2312" w:hAnsi="仿宋_GB2312" w:cs="仿宋_GB2312" w:eastAsia="仿宋_GB2312"/>
              </w:rPr>
              <w:t>响应文件封面 服务响应偏离表.docx 承诺书.docx 商务部分偏离表.docx 分项价格表.docx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针对本项目特点及服务内容制定具体详细的实施方案，设计方案，方案总体思路清晰，实施方法及工作安排合理。根据本项目的时限要求，制定规范的、有针对性的服务进度计划，安排紧凑得当，能充分体现工作效率及工作效果，计划合理且科学，根据其响应程度进行综合评审。 满足磋商文件要求，无瑕疵：12分； 方案内容存在1处瑕疵：10分； 方案内容存在2处瑕疵：8分； 方案内容存在3处瑕疵：6分； 方案内容存在4处瑕疵：4分； 方案内容存在5处瑕疵：2分； 未提供或不满足磋商文件要求或内容存在6处及以上瑕疵：0分。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本表所有对于瑕疵定义的内容“同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1服务方案.docx</w:t>
            </w:r>
          </w:p>
        </w:tc>
      </w:tr>
      <w:tr>
        <w:tc>
          <w:tcPr>
            <w:tcW w:type="dxa" w:w="831"/>
            <w:vMerge/>
          </w:tcPr>
          <w:p/>
        </w:tc>
        <w:tc>
          <w:tcPr>
            <w:tcW w:type="dxa" w:w="1661"/>
          </w:tcPr>
          <w:p>
            <w:pPr>
              <w:pStyle w:val="null3"/>
            </w:pPr>
            <w:r>
              <w:rPr>
                <w:rFonts w:ascii="仿宋_GB2312" w:hAnsi="仿宋_GB2312" w:cs="仿宋_GB2312" w:eastAsia="仿宋_GB2312"/>
              </w:rPr>
              <w:t>需求理解</w:t>
            </w:r>
          </w:p>
        </w:tc>
        <w:tc>
          <w:tcPr>
            <w:tcW w:type="dxa" w:w="2492"/>
          </w:tcPr>
          <w:p>
            <w:pPr>
              <w:pStyle w:val="null3"/>
            </w:pPr>
            <w:r>
              <w:rPr>
                <w:rFonts w:ascii="仿宋_GB2312" w:hAnsi="仿宋_GB2312" w:cs="仿宋_GB2312" w:eastAsia="仿宋_GB2312"/>
              </w:rPr>
              <w:t>供应商理解本项目的需求、目标和原则，总体设计思路全面。能清楚描述本次工作任务目标，对项目把握准确，重点突出，技术建议叙述完整。根据其响应程度进行综合评审。 满足磋商文件要求，无瑕疵：6分； 方案内容存在1处瑕疵：5分； 方案内容存在2处瑕疵：4分； 方案内容存在3处瑕疵：3分； 方案内容存在4处瑕疵：2分； 方案内容存在5处瑕疵：1分； 未提供或不满足磋商文件要求或内容存在6处及以上瑕疵：0分。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2需求理解.docx</w:t>
            </w:r>
          </w:p>
        </w:tc>
      </w:tr>
      <w:tr>
        <w:tc>
          <w:tcPr>
            <w:tcW w:type="dxa" w:w="831"/>
            <w:vMerge/>
          </w:tcPr>
          <w:p/>
        </w:tc>
        <w:tc>
          <w:tcPr>
            <w:tcW w:type="dxa" w:w="1661"/>
          </w:tcPr>
          <w:p>
            <w:pPr>
              <w:pStyle w:val="null3"/>
            </w:pPr>
            <w:r>
              <w:rPr>
                <w:rFonts w:ascii="仿宋_GB2312" w:hAnsi="仿宋_GB2312" w:cs="仿宋_GB2312" w:eastAsia="仿宋_GB2312"/>
              </w:rPr>
              <w:t>会场布置 方案</w:t>
            </w:r>
          </w:p>
        </w:tc>
        <w:tc>
          <w:tcPr>
            <w:tcW w:type="dxa" w:w="2492"/>
          </w:tcPr>
          <w:p>
            <w:pPr>
              <w:pStyle w:val="null3"/>
            </w:pPr>
            <w:r>
              <w:rPr>
                <w:rFonts w:ascii="仿宋_GB2312" w:hAnsi="仿宋_GB2312" w:cs="仿宋_GB2312" w:eastAsia="仿宋_GB2312"/>
              </w:rPr>
              <w:t>供应商针对本项目提供会场布置方案，符合项目主题，合理利用场地，使用节能环保材料等内容进行综合评审。 满足磋商文件要求，无瑕疵：6分； 方案内容存在1处瑕疵：5分； 方案内容存在2处瑕疵：4分； 方案内容存在3处瑕疵：3分； 方案内容存在4处瑕疵：2分； 方案内容存在5处瑕疵：1分； 未提供或不满足磋商文件要求或内容存在6处及以上瑕疵：0分。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3会场布置.docx</w:t>
            </w:r>
          </w:p>
        </w:tc>
      </w:tr>
      <w:tr>
        <w:tc>
          <w:tcPr>
            <w:tcW w:type="dxa" w:w="831"/>
            <w:vMerge/>
          </w:tcPr>
          <w:p/>
        </w:tc>
        <w:tc>
          <w:tcPr>
            <w:tcW w:type="dxa" w:w="1661"/>
          </w:tcPr>
          <w:p>
            <w:pPr>
              <w:pStyle w:val="null3"/>
            </w:pPr>
            <w:r>
              <w:rPr>
                <w:rFonts w:ascii="仿宋_GB2312" w:hAnsi="仿宋_GB2312" w:cs="仿宋_GB2312" w:eastAsia="仿宋_GB2312"/>
              </w:rPr>
              <w:t>网络招聘方案</w:t>
            </w:r>
          </w:p>
        </w:tc>
        <w:tc>
          <w:tcPr>
            <w:tcW w:type="dxa" w:w="2492"/>
          </w:tcPr>
          <w:p>
            <w:pPr>
              <w:pStyle w:val="null3"/>
            </w:pPr>
            <w:r>
              <w:rPr>
                <w:rFonts w:ascii="仿宋_GB2312" w:hAnsi="仿宋_GB2312" w:cs="仿宋_GB2312" w:eastAsia="仿宋_GB2312"/>
              </w:rPr>
              <w:t>供应商针对本项目提供配套网络招聘会平台搭建，视频面试系统，客户端网页设计，后台搭建及管控，网络招聘会页面设计，且须提供全程网络技术支持及招聘数据报告等。是否自有网络招聘平台、自有人才库情况。供应商对平台建设需求分析的理解全面、技术方案完整。 满足磋商文件要求，无瑕疵：9分； 方案内容存在1处瑕疵：8分； 方案内容存在2处瑕疵：7分； 方案内容存在3处瑕疵：6分； 方案内容存在4处瑕疵：5分； 方案内容存在5处瑕疵：4分； 方案内容存在6处瑕疵：3分； 方案内容存在7处瑕疵：2分； 方案内容存在8处瑕疵：1分； 未提供或不满足磋商文件要求或内容存在9处及以上瑕疵：0分。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4网络招聘方案.docx</w:t>
            </w:r>
          </w:p>
        </w:tc>
      </w:tr>
      <w:tr>
        <w:tc>
          <w:tcPr>
            <w:tcW w:type="dxa" w:w="831"/>
            <w:vMerge/>
          </w:tcPr>
          <w:p/>
        </w:tc>
        <w:tc>
          <w:tcPr>
            <w:tcW w:type="dxa" w:w="1661"/>
          </w:tcPr>
          <w:p>
            <w:pPr>
              <w:pStyle w:val="null3"/>
            </w:pPr>
            <w:r>
              <w:rPr>
                <w:rFonts w:ascii="仿宋_GB2312" w:hAnsi="仿宋_GB2312" w:cs="仿宋_GB2312" w:eastAsia="仿宋_GB2312"/>
              </w:rPr>
              <w:t>宣传方案</w:t>
            </w:r>
          </w:p>
        </w:tc>
        <w:tc>
          <w:tcPr>
            <w:tcW w:type="dxa" w:w="2492"/>
          </w:tcPr>
          <w:p>
            <w:pPr>
              <w:pStyle w:val="null3"/>
            </w:pPr>
            <w:r>
              <w:rPr>
                <w:rFonts w:ascii="仿宋_GB2312" w:hAnsi="仿宋_GB2312" w:cs="仿宋_GB2312" w:eastAsia="仿宋_GB2312"/>
              </w:rPr>
              <w:t>供应商针对本项目提供宣传方案（媒体渠道、传播效果）、直播能力及口碑管理方案、参与渠道、流程及版块设置方案。 满足磋商文件要求，无瑕疵：3分； 方案内容存在1处瑕疵：2分； 方案内容存在2处瑕疵：1分； 未提供或不满足磋商文件要求或内容存在3处及以上瑕疵：0分。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5宣传方案.docx</w:t>
            </w:r>
          </w:p>
        </w:tc>
      </w:tr>
      <w:tr>
        <w:tc>
          <w:tcPr>
            <w:tcW w:type="dxa" w:w="831"/>
            <w:vMerge/>
          </w:tcPr>
          <w:p/>
        </w:tc>
        <w:tc>
          <w:tcPr>
            <w:tcW w:type="dxa" w:w="1661"/>
          </w:tcPr>
          <w:p>
            <w:pPr>
              <w:pStyle w:val="null3"/>
            </w:pPr>
            <w:r>
              <w:rPr>
                <w:rFonts w:ascii="仿宋_GB2312" w:hAnsi="仿宋_GB2312" w:cs="仿宋_GB2312" w:eastAsia="仿宋_GB2312"/>
              </w:rPr>
              <w:t>安全保障 措施</w:t>
            </w:r>
          </w:p>
        </w:tc>
        <w:tc>
          <w:tcPr>
            <w:tcW w:type="dxa" w:w="2492"/>
          </w:tcPr>
          <w:p>
            <w:pPr>
              <w:pStyle w:val="null3"/>
            </w:pPr>
            <w:r>
              <w:rPr>
                <w:rFonts w:ascii="仿宋_GB2312" w:hAnsi="仿宋_GB2312" w:cs="仿宋_GB2312" w:eastAsia="仿宋_GB2312"/>
              </w:rPr>
              <w:t>供应商针对本项目提供的安全保障措施，包括但不限于：消防、用电、设备安全及突发问题应急预案及应对措施。 满足磋商文件要求，无瑕疵：4分； 方案内容存在1处瑕疵：3分； 方案内容存在2处瑕疵：2分； 方案内容存在3处瑕疵：1分； 未提供或不满足磋商文件要求或内容存在4处及以上瑕疵：0分。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6安全保障措施.docx</w:t>
            </w:r>
          </w:p>
        </w:tc>
      </w:tr>
      <w:tr>
        <w:tc>
          <w:tcPr>
            <w:tcW w:type="dxa" w:w="831"/>
            <w:vMerge/>
          </w:tcPr>
          <w:p/>
        </w:tc>
        <w:tc>
          <w:tcPr>
            <w:tcW w:type="dxa" w:w="1661"/>
          </w:tcPr>
          <w:p>
            <w:pPr>
              <w:pStyle w:val="null3"/>
            </w:pPr>
            <w:r>
              <w:rPr>
                <w:rFonts w:ascii="仿宋_GB2312" w:hAnsi="仿宋_GB2312" w:cs="仿宋_GB2312" w:eastAsia="仿宋_GB2312"/>
              </w:rPr>
              <w:t>撤场方案</w:t>
            </w:r>
          </w:p>
        </w:tc>
        <w:tc>
          <w:tcPr>
            <w:tcW w:type="dxa" w:w="2492"/>
          </w:tcPr>
          <w:p>
            <w:pPr>
              <w:pStyle w:val="null3"/>
            </w:pPr>
            <w:r>
              <w:rPr>
                <w:rFonts w:ascii="仿宋_GB2312" w:hAnsi="仿宋_GB2312" w:cs="仿宋_GB2312" w:eastAsia="仿宋_GB2312"/>
              </w:rPr>
              <w:t>供应商针对本项目提供撤场与清理方案，包括但不限于：垃圾清运、材料回收、设施设备归位、保洁等。 满足磋商文件要求，无瑕疵：6分； 方案内容存在1处瑕疵：5分； 方案内容存在2处瑕疵：4分； 方案内容存在3处瑕疵：3分； 方案内容存在4处瑕疵：2分； 方案内容存在5处瑕疵：1分； 未提供或不满足磋商文件要求或内容存在6处及以上瑕疵：0分。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7撤场方案.docx</w:t>
            </w:r>
          </w:p>
        </w:tc>
      </w:tr>
      <w:tr>
        <w:tc>
          <w:tcPr>
            <w:tcW w:type="dxa" w:w="831"/>
            <w:vMerge/>
          </w:tcPr>
          <w:p/>
        </w:tc>
        <w:tc>
          <w:tcPr>
            <w:tcW w:type="dxa" w:w="1661"/>
          </w:tcPr>
          <w:p>
            <w:pPr>
              <w:pStyle w:val="null3"/>
            </w:pPr>
            <w:r>
              <w:rPr>
                <w:rFonts w:ascii="仿宋_GB2312" w:hAnsi="仿宋_GB2312" w:cs="仿宋_GB2312" w:eastAsia="仿宋_GB2312"/>
              </w:rPr>
              <w:t>设施设备 清单</w:t>
            </w:r>
          </w:p>
        </w:tc>
        <w:tc>
          <w:tcPr>
            <w:tcW w:type="dxa" w:w="2492"/>
          </w:tcPr>
          <w:p>
            <w:pPr>
              <w:pStyle w:val="null3"/>
            </w:pPr>
            <w:r>
              <w:rPr>
                <w:rFonts w:ascii="仿宋_GB2312" w:hAnsi="仿宋_GB2312" w:cs="仿宋_GB2312" w:eastAsia="仿宋_GB2312"/>
              </w:rPr>
              <w:t>供应商针对本项目拟投入的设施设备，符合采购需求中的技术参数要求，至少包含设备名称、规格、数量、品牌（如适用）、保修期等信息；设备的可用性、维护计划及应急备用方案明确等。 满足磋商文件要求，无瑕疵：12分； 方案内容存在1处瑕疵：10分； 方案内容存在2处瑕疵：8分； 方案内容存在3处瑕疵：6分； 方案内容存在4处瑕疵：4分； 方案内容存在5处瑕疵：2分； 未提供或不满足磋商文件要求或内容存在6处及以上瑕疵：0分。 备注：供应商需提供拟投入的设施设备清单表格（格式自拟），未提供按瑕疵处理给予扣分。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8设施设备清单.docx</w:t>
            </w:r>
          </w:p>
        </w:tc>
      </w:tr>
      <w:tr>
        <w:tc>
          <w:tcPr>
            <w:tcW w:type="dxa" w:w="831"/>
            <w:vMerge/>
          </w:tcPr>
          <w:p/>
        </w:tc>
        <w:tc>
          <w:tcPr>
            <w:tcW w:type="dxa" w:w="1661"/>
          </w:tcPr>
          <w:p>
            <w:pPr>
              <w:pStyle w:val="null3"/>
            </w:pPr>
            <w:r>
              <w:rPr>
                <w:rFonts w:ascii="仿宋_GB2312" w:hAnsi="仿宋_GB2312" w:cs="仿宋_GB2312" w:eastAsia="仿宋_GB2312"/>
              </w:rPr>
              <w:t>实施团队</w:t>
            </w:r>
          </w:p>
        </w:tc>
        <w:tc>
          <w:tcPr>
            <w:tcW w:type="dxa" w:w="2492"/>
          </w:tcPr>
          <w:p>
            <w:pPr>
              <w:pStyle w:val="null3"/>
            </w:pPr>
            <w:r>
              <w:rPr>
                <w:rFonts w:ascii="仿宋_GB2312" w:hAnsi="仿宋_GB2312" w:cs="仿宋_GB2312" w:eastAsia="仿宋_GB2312"/>
              </w:rPr>
              <w:t>供应商针对本项目拟投入实施团队人员，有项目负责人、有专业的策划、宣传服务和执行团队；项目负责人具有较强的专业程度、一定的工作年限及经验。拟派项目团队人员数量及专业安排合理、经验丰富、专业素质高、岗位职责明确清晰。 满足磋商文件要求，无瑕疵：12分； 方案内容存在1处瑕疵：10分； 方案内容存在2处瑕疵：8分； 方案内容存在3处瑕疵：6分； 方案内容存在4处瑕疵：4分； 方案内容存在5处瑕疵：2分； 未提供或不满足磋商文件要求或内容存在6处及以上瑕疵：0分。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9实施团队.docx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供应商针对本项目为采购人提供有利于项目实施的合理化建议，按其内容综合评审。 满足磋商文件要求，无瑕疵：3分； 方案内容存在1处瑕疵：2分； 方案内容存在2处瑕疵：1分； 未提供或不满足磋商文件要求或内容存在3处及以上瑕疵：0分。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10合理化建议.docx</w:t>
            </w:r>
          </w:p>
        </w:tc>
      </w:tr>
      <w:tr>
        <w:tc>
          <w:tcPr>
            <w:tcW w:type="dxa" w:w="831"/>
            <w:vMerge/>
          </w:tcPr>
          <w:p/>
        </w:tc>
        <w:tc>
          <w:tcPr>
            <w:tcW w:type="dxa" w:w="1661"/>
          </w:tcPr>
          <w:p>
            <w:pPr>
              <w:pStyle w:val="null3"/>
            </w:pPr>
            <w:r>
              <w:rPr>
                <w:rFonts w:ascii="仿宋_GB2312" w:hAnsi="仿宋_GB2312" w:cs="仿宋_GB2312" w:eastAsia="仿宋_GB2312"/>
              </w:rPr>
              <w:t>创新与增值服务</w:t>
            </w:r>
          </w:p>
        </w:tc>
        <w:tc>
          <w:tcPr>
            <w:tcW w:type="dxa" w:w="2492"/>
          </w:tcPr>
          <w:p>
            <w:pPr>
              <w:pStyle w:val="null3"/>
            </w:pPr>
            <w:r>
              <w:rPr>
                <w:rFonts w:ascii="仿宋_GB2312" w:hAnsi="仿宋_GB2312" w:cs="仿宋_GB2312" w:eastAsia="仿宋_GB2312"/>
              </w:rPr>
              <w:t>供应商针对本项目提供创新与增值服务，如：项目实施、进度、安全、管理等方面。 满足磋商文件要求，无瑕疵：5分； 方案内容存在1处瑕疵：4分； 方案内容存在2处瑕疵：3分； 方案内容存在3处瑕疵：2分； 方案内容存在4处瑕疵：1分； 未提供或不满足磋商文件要求或内容存在5处及以上瑕疵：0分。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11创新与增值服务.docx</w:t>
            </w:r>
          </w:p>
        </w:tc>
      </w:tr>
      <w:tr>
        <w:tc>
          <w:tcPr>
            <w:tcW w:type="dxa" w:w="831"/>
            <w:vMerge/>
          </w:tcPr>
          <w:p/>
        </w:tc>
        <w:tc>
          <w:tcPr>
            <w:tcW w:type="dxa" w:w="1661"/>
          </w:tcPr>
          <w:p>
            <w:pPr>
              <w:pStyle w:val="null3"/>
            </w:pPr>
            <w:r>
              <w:rPr>
                <w:rFonts w:ascii="仿宋_GB2312" w:hAnsi="仿宋_GB2312" w:cs="仿宋_GB2312" w:eastAsia="仿宋_GB2312"/>
              </w:rPr>
              <w:t>项目负责人业绩</w:t>
            </w:r>
          </w:p>
        </w:tc>
        <w:tc>
          <w:tcPr>
            <w:tcW w:type="dxa" w:w="2492"/>
          </w:tcPr>
          <w:p>
            <w:pPr>
              <w:pStyle w:val="null3"/>
            </w:pPr>
            <w:r>
              <w:rPr>
                <w:rFonts w:ascii="仿宋_GB2312" w:hAnsi="仿宋_GB2312" w:cs="仿宋_GB2312" w:eastAsia="仿宋_GB2312"/>
              </w:rPr>
              <w:t>项目负责人具备负责同类项目的业绩经验，提供能体现项目负责人姓名的合同作为证明材料。每提供（项目负责人的业绩与供应商的业绩不重复计分）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12项目负责人业绩.docx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业绩：提供供应商2022年1月1日至今同类项目合同，每提供1个得2分，最高得10分。（以合同签订日期为准）。 备注：响应文件中提供合同复印件加盖公章。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价格分统一采用低价优先法计算，即满足磋商文件要求且响应价格最低的磋商报价为评标基准价，其价格分为满分。其他供应商的价格分统一按照下列公式计算：价格分= (评标基准价／磋商报价)×报价分值 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详见附件：1服务方案.docx</w:t>
      </w:r>
    </w:p>
    <w:p>
      <w:pPr>
        <w:pStyle w:val="null3"/>
        <w:ind w:firstLine="960"/>
      </w:pPr>
      <w:r>
        <w:rPr>
          <w:rFonts w:ascii="仿宋_GB2312" w:hAnsi="仿宋_GB2312" w:cs="仿宋_GB2312" w:eastAsia="仿宋_GB2312"/>
        </w:rPr>
        <w:t>详见附件：2需求理解.docx</w:t>
      </w:r>
    </w:p>
    <w:p>
      <w:pPr>
        <w:pStyle w:val="null3"/>
        <w:ind w:firstLine="960"/>
      </w:pPr>
      <w:r>
        <w:rPr>
          <w:rFonts w:ascii="仿宋_GB2312" w:hAnsi="仿宋_GB2312" w:cs="仿宋_GB2312" w:eastAsia="仿宋_GB2312"/>
        </w:rPr>
        <w:t>详见附件：3会场布置.docx</w:t>
      </w:r>
    </w:p>
    <w:p>
      <w:pPr>
        <w:pStyle w:val="null3"/>
        <w:ind w:firstLine="960"/>
      </w:pPr>
      <w:r>
        <w:rPr>
          <w:rFonts w:ascii="仿宋_GB2312" w:hAnsi="仿宋_GB2312" w:cs="仿宋_GB2312" w:eastAsia="仿宋_GB2312"/>
        </w:rPr>
        <w:t>详见附件：4网络招聘方案.docx</w:t>
      </w:r>
    </w:p>
    <w:p>
      <w:pPr>
        <w:pStyle w:val="null3"/>
        <w:ind w:firstLine="960"/>
      </w:pPr>
      <w:r>
        <w:rPr>
          <w:rFonts w:ascii="仿宋_GB2312" w:hAnsi="仿宋_GB2312" w:cs="仿宋_GB2312" w:eastAsia="仿宋_GB2312"/>
        </w:rPr>
        <w:t>详见附件：5宣传方案.docx</w:t>
      </w:r>
    </w:p>
    <w:p>
      <w:pPr>
        <w:pStyle w:val="null3"/>
        <w:ind w:firstLine="960"/>
      </w:pPr>
      <w:r>
        <w:rPr>
          <w:rFonts w:ascii="仿宋_GB2312" w:hAnsi="仿宋_GB2312" w:cs="仿宋_GB2312" w:eastAsia="仿宋_GB2312"/>
        </w:rPr>
        <w:t>详见附件：6安全保障措施.docx</w:t>
      </w:r>
    </w:p>
    <w:p>
      <w:pPr>
        <w:pStyle w:val="null3"/>
        <w:ind w:firstLine="960"/>
      </w:pPr>
      <w:r>
        <w:rPr>
          <w:rFonts w:ascii="仿宋_GB2312" w:hAnsi="仿宋_GB2312" w:cs="仿宋_GB2312" w:eastAsia="仿宋_GB2312"/>
        </w:rPr>
        <w:t>详见附件：7撤场方案.docx</w:t>
      </w:r>
    </w:p>
    <w:p>
      <w:pPr>
        <w:pStyle w:val="null3"/>
        <w:ind w:firstLine="960"/>
      </w:pPr>
      <w:r>
        <w:rPr>
          <w:rFonts w:ascii="仿宋_GB2312" w:hAnsi="仿宋_GB2312" w:cs="仿宋_GB2312" w:eastAsia="仿宋_GB2312"/>
        </w:rPr>
        <w:t>详见附件：8设施设备清单.docx</w:t>
      </w:r>
    </w:p>
    <w:p>
      <w:pPr>
        <w:pStyle w:val="null3"/>
        <w:ind w:firstLine="960"/>
      </w:pPr>
      <w:r>
        <w:rPr>
          <w:rFonts w:ascii="仿宋_GB2312" w:hAnsi="仿宋_GB2312" w:cs="仿宋_GB2312" w:eastAsia="仿宋_GB2312"/>
        </w:rPr>
        <w:t>详见附件：9实施团队.docx</w:t>
      </w:r>
    </w:p>
    <w:p>
      <w:pPr>
        <w:pStyle w:val="null3"/>
        <w:ind w:firstLine="960"/>
      </w:pPr>
      <w:r>
        <w:rPr>
          <w:rFonts w:ascii="仿宋_GB2312" w:hAnsi="仿宋_GB2312" w:cs="仿宋_GB2312" w:eastAsia="仿宋_GB2312"/>
        </w:rPr>
        <w:t>详见附件：10合理化建议.docx</w:t>
      </w:r>
    </w:p>
    <w:p>
      <w:pPr>
        <w:pStyle w:val="null3"/>
        <w:ind w:firstLine="960"/>
      </w:pPr>
      <w:r>
        <w:rPr>
          <w:rFonts w:ascii="仿宋_GB2312" w:hAnsi="仿宋_GB2312" w:cs="仿宋_GB2312" w:eastAsia="仿宋_GB2312"/>
        </w:rPr>
        <w:t>详见附件：11创新与增值服务.docx</w:t>
      </w:r>
    </w:p>
    <w:p>
      <w:pPr>
        <w:pStyle w:val="null3"/>
        <w:ind w:firstLine="960"/>
      </w:pPr>
      <w:r>
        <w:rPr>
          <w:rFonts w:ascii="仿宋_GB2312" w:hAnsi="仿宋_GB2312" w:cs="仿宋_GB2312" w:eastAsia="仿宋_GB2312"/>
        </w:rPr>
        <w:t>详见附件：12项目负责人业绩.docx</w:t>
      </w:r>
    </w:p>
    <w:p>
      <w:pPr>
        <w:pStyle w:val="null3"/>
        <w:ind w:firstLine="960"/>
      </w:pPr>
      <w:r>
        <w:rPr>
          <w:rFonts w:ascii="仿宋_GB2312" w:hAnsi="仿宋_GB2312" w:cs="仿宋_GB2312" w:eastAsia="仿宋_GB2312"/>
        </w:rPr>
        <w:t>详见附件：13业绩.docx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详见附件：分项价格表.docx</w:t>
      </w:r>
    </w:p>
    <w:p>
      <w:pPr>
        <w:pStyle w:val="null3"/>
        <w:ind w:firstLine="960"/>
      </w:pPr>
      <w:r>
        <w:rPr>
          <w:rFonts w:ascii="仿宋_GB2312" w:hAnsi="仿宋_GB2312" w:cs="仿宋_GB2312" w:eastAsia="仿宋_GB2312"/>
        </w:rPr>
        <w:t>详见附件：服务响应偏离表.docx</w:t>
      </w:r>
    </w:p>
    <w:p>
      <w:pPr>
        <w:pStyle w:val="null3"/>
        <w:ind w:firstLine="960"/>
      </w:pPr>
      <w:r>
        <w:rPr>
          <w:rFonts w:ascii="仿宋_GB2312" w:hAnsi="仿宋_GB2312" w:cs="仿宋_GB2312" w:eastAsia="仿宋_GB2312"/>
        </w:rPr>
        <w:t>详见附件：商务部分偏离表.docx</w:t>
      </w:r>
    </w:p>
    <w:p>
      <w:pPr>
        <w:pStyle w:val="null3"/>
        <w:ind w:firstLine="960"/>
      </w:pPr>
      <w:r>
        <w:rPr>
          <w:rFonts w:ascii="仿宋_GB2312" w:hAnsi="仿宋_GB2312" w:cs="仿宋_GB2312" w:eastAsia="仿宋_GB2312"/>
        </w:rPr>
        <w:t>详见附件：3资格证明文件.docx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