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6110295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lang w:eastAsia="zh-CN"/>
        </w:rPr>
        <w:t>对本项目工作内容的理解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0F05D9B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lang w:eastAsia="zh-CN"/>
        </w:rPr>
        <w:t>项目实施计划与服务方案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3DEF6F3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auto"/>
          <w:lang w:eastAsia="zh-CN"/>
        </w:rPr>
        <w:t>人员团队配备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0DD729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auto"/>
          <w:lang w:eastAsia="zh-CN"/>
        </w:rPr>
        <w:t>新媒体平台维护及优化提升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32C4C72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auto"/>
          <w:spacing w:val="-1"/>
        </w:rPr>
        <w:t>应急预案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3D53CE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auto"/>
        </w:rPr>
        <w:t>保密方案</w:t>
      </w:r>
    </w:p>
    <w:p w14:paraId="112D406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auto"/>
          <w:spacing w:val="-1"/>
        </w:rPr>
        <w:t>培训服务</w:t>
      </w:r>
      <w:bookmarkStart w:id="0" w:name="_GoBack"/>
      <w:bookmarkEnd w:id="0"/>
    </w:p>
    <w:p w14:paraId="2C0B58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A064F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N2NkNmZiNTdmZjhkNDZjYWZkZjhlMmYzOGVjOTEifQ=="/>
  </w:docVars>
  <w:rsids>
    <w:rsidRoot w:val="00000000"/>
    <w:rsid w:val="42C471FF"/>
    <w:rsid w:val="52AF1852"/>
    <w:rsid w:val="58892B50"/>
    <w:rsid w:val="75D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94</Characters>
  <Lines>0</Lines>
  <Paragraphs>0</Paragraphs>
  <TotalTime>0</TotalTime>
  <ScaleCrop>false</ScaleCrop>
  <LinksUpToDate>false</LinksUpToDate>
  <CharactersWithSpaces>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Hanson 汉森</cp:lastModifiedBy>
  <dcterms:modified xsi:type="dcterms:W3CDTF">2025-05-22T10:01:08Z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eyJoZGlkIjoiODk5N2NkNmZiNTdmZjhkNDZjYWZkZjhlMmYzOGVjOTEiLCJ1c2VySWQiOiI1MTAwOTgyNjgifQ==</vt:lpwstr>
  </property>
</Properties>
</file>