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版本号：HRC-ZBDL-2025-0061620250526001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操场看台维修项目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HRC-ZBDL-2025-00616</w:t>
      </w:r>
      <w:r>
        <w:br/>
      </w:r>
      <w:r>
        <w:br/>
      </w:r>
      <w:r>
        <w:br/>
      </w:r>
    </w:p>
    <w:p>
      <w:pPr>
        <w:pStyle w:val="null3"/>
        <w:jc w:val="center"/>
        <w:outlineLvl w:val="2"/>
      </w:pPr>
      <w:r>
        <w:rPr>
          <w:rFonts w:ascii="仿宋_GB2312" w:hAnsi="仿宋_GB2312" w:cs="仿宋_GB2312" w:eastAsia="仿宋_GB2312"/>
          <w:sz w:val="28"/>
          <w:b/>
        </w:rPr>
        <w:t>西安市育才中学</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西安市育才中学</w:t>
      </w:r>
      <w:r>
        <w:rPr>
          <w:rFonts w:ascii="仿宋_GB2312" w:hAnsi="仿宋_GB2312" w:cs="仿宋_GB2312" w:eastAsia="仿宋_GB2312"/>
        </w:rPr>
        <w:t>委托，拟对</w:t>
      </w:r>
      <w:r>
        <w:rPr>
          <w:rFonts w:ascii="仿宋_GB2312" w:hAnsi="仿宋_GB2312" w:cs="仿宋_GB2312" w:eastAsia="仿宋_GB2312"/>
        </w:rPr>
        <w:t>操场看台维修项目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HRC-ZBDL-2025-00616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操场看台维修项目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西安市育才中学操场看台维修项目，包括更换主席台钢结构、重修防水、粉刷墙面，更换门窗，增加洗澡设备及座椅采购等。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采购包1（操场看台维修项目）：属于专门面向中小企业采购。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财务状况报告：供应商提供2023年度或2024年度经审计的财务审计报告（事业法人可提供部门决算报告）；或提供供应商基本账户出具的资信证明；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3、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5、具有履行合同所必需的设备和专业技术能力书面声明函：供应商需在项目电子化交易系统中按要求上传相应证明文件并进行电子签章；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pPr>
      <w:r>
        <w:rPr>
          <w:rFonts w:ascii="仿宋_GB2312" w:hAnsi="仿宋_GB2312" w:cs="仿宋_GB2312" w:eastAsia="仿宋_GB2312"/>
        </w:rPr>
        <w:t>7、企业资质：供应商须具备建设行政主管部门颁发的建筑工程施工总承包三级及以上资质，且具备有效的安全生产许可证，并在人员、设备、资金等方面具备相应施工能力且无不良记录。</w:t>
      </w:r>
    </w:p>
    <w:p>
      <w:pPr>
        <w:pStyle w:val="null3"/>
      </w:pPr>
      <w:r>
        <w:rPr>
          <w:rFonts w:ascii="仿宋_GB2312" w:hAnsi="仿宋_GB2312" w:cs="仿宋_GB2312" w:eastAsia="仿宋_GB2312"/>
        </w:rPr>
        <w:t>8、项目负责人：拟派项目经理须具备合法有效的建筑工程专业二级及以上注册建造师执业资格，同时具备有效的安全生产考核合格证书（安全B证），且无在建工程。</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西安市育才中学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西安市小寨兴善寺东街115号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西安市育才中学经办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15929992556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13022991235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代理服务费收费标准：1、招标代理服务收费按定额人民币壹万贰仟元整（12000.00）收取，由成交人在领取成交通知书前向代理机构支付。 2、招标代理服务费以转账或现金形式缴纳至以下账户： 开户名称：华睿诚项目管理有限公司 开户银行：西安银行小寨东路支行 账号：816011580000101224</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西安市育才中学</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西安市育才中学</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西安市育才中学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联系人：姚工</w:t>
      </w:r>
    </w:p>
    <w:p>
      <w:pPr>
        <w:pStyle w:val="null3"/>
      </w:pPr>
      <w:r>
        <w:rPr>
          <w:rFonts w:ascii="仿宋_GB2312" w:hAnsi="仿宋_GB2312" w:cs="仿宋_GB2312" w:eastAsia="仿宋_GB2312"/>
        </w:rPr>
        <w:t>联系电话：13022991235</w:t>
      </w:r>
    </w:p>
    <w:p>
      <w:pPr>
        <w:pStyle w:val="null3"/>
      </w:pPr>
      <w:r>
        <w:rPr>
          <w:rFonts w:ascii="仿宋_GB2312" w:hAnsi="仿宋_GB2312" w:cs="仿宋_GB2312" w:eastAsia="仿宋_GB2312"/>
        </w:rPr>
        <w:t>地址：陕西省西安市曲江新区雁翔路3269号旺座曲江E座29层2901号</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2,630,000.00</w:t>
      </w:r>
    </w:p>
    <w:p>
      <w:pPr>
        <w:pStyle w:val="null3"/>
      </w:pPr>
      <w:r>
        <w:rPr>
          <w:rFonts w:ascii="仿宋_GB2312" w:hAnsi="仿宋_GB2312" w:cs="仿宋_GB2312" w:eastAsia="仿宋_GB2312"/>
        </w:rPr>
        <w:t>采购包最高限价（元）: 2,630,000.00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更换主席台钢结构、重修防水、粉刷墙面，更换门窗，增加洗澡设备及座椅采购等</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2,630,000.00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标的名称：更换主席台钢结构、重修防水、粉刷墙面，更换门窗，增加洗澡设备及座椅采购等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西安市育才中学操场看台维修项目，包括更换主席台钢结构、重修防水、粉刷墙面，更换门窗，增加洗澡设备及座椅采购等。</w:t>
            </w:r>
          </w:p>
          <w:p>
            <w:pPr>
              <w:pStyle w:val="null3"/>
            </w:pPr>
            <w:r>
              <w:rPr>
                <w:rFonts w:ascii="仿宋_GB2312" w:hAnsi="仿宋_GB2312" w:cs="仿宋_GB2312" w:eastAsia="仿宋_GB2312"/>
              </w:rPr>
              <w:t>二、本项目工程量清单及图纸详见附件。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采购标的对应的中小企业划分标准所属行业为建筑业。建筑业的划型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2、本项目专门面向中小企业采购（残疾人福利性单位、监狱企业视同小型、微型企业）。3、为顺利推进政府采购电子化交易平台试点应用工作，供应商需要在线提交所有通过电子化交易平台实施的政府采购项目的投标文件，同时，线下提交纸质投标文件正本、副本各一份，未按照要求提供纸质版文件的按照无效响应处理。4、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年度或2024年度经审计的财务报告（包含审计报告和审计报告中所涉及的财务报表和报表附注），②可提供2023年度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相关资格证明资料.docx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相关资格证明资料.docx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或2024年度经审计的财务审计报告（事业法人可提供部门决算报告）；或提供供应商基本账户出具的资信证明；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具有履行合同所必需的设备和专业技术能力书面声明函</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供应商须具备建设行政主管部门颁发的建筑工程施工总承包三级及以上资质，且具备有效的安全生产许可证，并在人员、设备、资金等方面具备相应施工能力且无不良记录。</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拟派项目经理须具备合法有效的建筑工程专业二级及以上注册建造师执业资格，同时具备有效的安全生产考核合格证书（安全B证），且无在建工程。</w:t>
            </w:r>
          </w:p>
        </w:tc>
        <w:tc>
          <w:tcPr>
            <w:tcW w:type="dxa" w:w="1661"/>
          </w:tcPr>
          <w:p>
            <w:pPr>
              <w:pStyle w:val="null3"/>
            </w:pPr>
            <w:r>
              <w:rPr>
                <w:rFonts w:ascii="仿宋_GB2312" w:hAnsi="仿宋_GB2312" w:cs="仿宋_GB2312" w:eastAsia="仿宋_GB2312"/>
              </w:rPr>
              <w:t>相关资格证明资料.docx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响应文件封面 已标价工程量清单 商务和技术响应.docx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响应文件封面 商务和技术响应.docx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响应文件封面 商务和技术响应.docx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磋商总报价</w:t>
            </w:r>
          </w:p>
        </w:tc>
        <w:tc>
          <w:tcPr>
            <w:tcW w:type="dxa" w:w="3322"/>
          </w:tcPr>
          <w:p>
            <w:pPr>
              <w:pStyle w:val="null3"/>
            </w:pPr>
            <w:r>
              <w:rPr>
                <w:rFonts w:ascii="仿宋_GB2312" w:hAnsi="仿宋_GB2312" w:cs="仿宋_GB2312" w:eastAsia="仿宋_GB2312"/>
              </w:rPr>
              <w:t>报价唯一，且未超过采购预算</w:t>
            </w:r>
          </w:p>
        </w:tc>
        <w:tc>
          <w:tcPr>
            <w:tcW w:type="dxa" w:w="1661"/>
          </w:tcPr>
          <w:p>
            <w:pPr>
              <w:pStyle w:val="null3"/>
            </w:pPr>
            <w:r>
              <w:rPr>
                <w:rFonts w:ascii="仿宋_GB2312" w:hAnsi="仿宋_GB2312" w:cs="仿宋_GB2312" w:eastAsia="仿宋_GB2312"/>
              </w:rPr>
              <w:t>响应文件封面 商务和技术响应.docx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相关资格证明资料.docx 已标价工程量清单 商务和技术响应.docx 授权委托书.docx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响应文件未出现竞争性磋商文件、法律法规规定的无效响应情形</w:t>
            </w:r>
          </w:p>
        </w:tc>
        <w:tc>
          <w:tcPr>
            <w:tcW w:type="dxa" w:w="1661"/>
          </w:tcPr>
          <w:p>
            <w:pPr>
              <w:pStyle w:val="null3"/>
            </w:pPr>
            <w:r>
              <w:rPr>
                <w:rFonts w:ascii="仿宋_GB2312" w:hAnsi="仿宋_GB2312" w:cs="仿宋_GB2312" w:eastAsia="仿宋_GB2312"/>
              </w:rPr>
              <w:t>响应文件封面 相关资格证明资料.docx 已标价工程量清单 商务和技术响应.docx 授权委托书.docx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根据各供应商提供的总体实施方案等进行综合评审。 实施方案非常详细、完整，可行、有针对性，有利于项目实施的得(7-10]分； 实施方案比较详细完整、可行，较利于项目实施的得(3-7]分； 实施方案基本可行，基本满足项目实施需要的得(0-3]分。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安全作业及配套措施</w:t>
            </w:r>
          </w:p>
        </w:tc>
        <w:tc>
          <w:tcPr>
            <w:tcW w:type="dxa" w:w="2492"/>
          </w:tcPr>
          <w:p>
            <w:pPr>
              <w:pStyle w:val="null3"/>
            </w:pPr>
            <w:r>
              <w:rPr>
                <w:rFonts w:ascii="仿宋_GB2312" w:hAnsi="仿宋_GB2312" w:cs="仿宋_GB2312" w:eastAsia="仿宋_GB2312"/>
              </w:rPr>
              <w:t>针对本项目提供具体的安全作业方案及安全配套措施进行综合评审。 针对本项目提供具体的安全作业方案及安全配套措施，且符合并优于采购人安全作业的要求，得(7-10]分； 针对本项目提供具体的安全作业方案及安全配套措施，基本符合采购人安全作业的要求，得(3-7]分； 针对本项目提供的安全作业方案及安全配套措施简陋，不能体现是否符合采购人安全作业的要求，得(0-3]分。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施工进度计划及措施</w:t>
            </w:r>
          </w:p>
        </w:tc>
        <w:tc>
          <w:tcPr>
            <w:tcW w:type="dxa" w:w="2492"/>
          </w:tcPr>
          <w:p>
            <w:pPr>
              <w:pStyle w:val="null3"/>
            </w:pPr>
            <w:r>
              <w:rPr>
                <w:rFonts w:ascii="仿宋_GB2312" w:hAnsi="仿宋_GB2312" w:cs="仿宋_GB2312" w:eastAsia="仿宋_GB2312"/>
              </w:rPr>
              <w:t>针对本项目提供的施工进度计划及措施进行综合评审。 施工进度计划及措施完备齐全、合理、切实可行，得(7-10]分。 施工进度计划及措施完备齐全、合理、基本可行，得(3-7]分。 施工进度计划及措施基本完备齐全、合理性、可行性较差，得(0-3]分。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根据供应商制定的确保工程质量及工期的技术组织措施进行综合评审。 措施计划完备齐全、合理、切实可行，得(7-10]分。 措施计划完备齐全、合理、基本可行，得(3-7]分。 措施计划基本完备齐全、合理性、可行性较差，得(0-3]分。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针对本项目的项目组织管理机构配备。 机构设置合理，人员配备齐全，技术经验丰富，得(5-8]分； 机构设置合理，人员配备、技术经验一般，得(3-5]分； 机构设置、人员配备、技术经验较差，得(0-3]分。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根据供应商投入的施工机械配备和材料投入计划等进行评审。 施工机械配备合理和材料环保性较好，得(5-8]分； 施工机械配备和材料投入计划基本合理、可行，得(3-5]分； 施工机械配备和材料投入计划较差，得(0-3]分。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供应商就本项目劳动力安排计划，根据合理、可行程度进行评审。 劳动力安排计划合理、可行，得(5-8]分。 劳动力安排计划基本可行，得(3-5]分。 劳动力安排计划可行性较差，得(0-3]分。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供应商提供自2022年1月1日至今的类似业绩证明材料，每提供1项的得2分，最多得6分。 评审依据：供应商须在响应文件中附合同的扫描件或复印件并加盖单位公章，业绩时间以合同签订时间所体现的时间为准，须体现合同关键页且签字盖章齐全，合同中出现非连续页或模糊不清无法辨认的视为无效合同或未提供的均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商务和技术响应.docx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磋商报价采用低价优先法计算，即满足竞争性磋商文件要求且最后磋商报价最低的报价为评审基准价，其价格分为满分。其他供应商的价格分统一按照下列公式计算： 磋商报价得分=（评审基准价/最后磋商报价）×30。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商务和技术响应.docx</w:t>
            </w:r>
          </w:p>
          <w:p>
            <w:pPr>
              <w:pStyle w:val="null3"/>
            </w:pPr>
            <w:r>
              <w:rPr>
                <w:rFonts w:ascii="仿宋_GB2312" w:hAnsi="仿宋_GB2312" w:cs="仿宋_GB2312" w:eastAsia="仿宋_GB2312"/>
              </w:rPr>
              <w:t>报价函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详见附件：相关资格证明资料.docx</w:t>
      </w:r>
    </w:p>
    <w:p>
      <w:pPr>
        <w:pStyle w:val="null3"/>
        <w:ind w:firstLine="960"/>
      </w:pPr>
      <w:r>
        <w:rPr>
          <w:rFonts w:ascii="仿宋_GB2312" w:hAnsi="仿宋_GB2312" w:cs="仿宋_GB2312" w:eastAsia="仿宋_GB2312"/>
        </w:rPr>
        <w:t>详见附件：商务和技术响应.docx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