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版本号：JXRC-25051920250528001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文化宣传视频制作项目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JXRC-250519</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文化宣传视频制作项目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JXRC-250519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文化宣传视频制作项目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为了对医院进行形象宣传，持续推进医院宣传作用，扩大医院影响力，确立医院文化品牌，加强各科室的宣传力度，需对西安市人民医院（西安市第四医院）文化宣传视频制作项目进行采购。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采购包1（宣传视频制作项目）：属于专门面向中小企业采购。</w:t>
      </w:r>
    </w:p>
    <w:p>
      <w:pPr>
        <w:pStyle w:val="null3"/>
      </w:pPr>
      <w:r>
        <w:rPr>
          <w:rFonts w:ascii="仿宋_GB2312" w:hAnsi="仿宋_GB2312" w:cs="仿宋_GB2312" w:eastAsia="仿宋_GB2312"/>
        </w:rPr>
        <w:t>采购包2（宣传微电影、纪录片制作项目）：属于专门面向中小企业采购。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p>
      <w:pPr>
        <w:pStyle w:val="null3"/>
      </w:pPr>
      <w:r>
        <w:rPr>
          <w:rFonts w:ascii="仿宋_GB2312" w:hAnsi="仿宋_GB2312" w:cs="仿宋_GB2312" w:eastAsia="仿宋_GB2312"/>
        </w:rPr>
        <w:t>5、社保缴纳证明：提供自2024年11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p>
      <w:pPr>
        <w:pStyle w:val="null3"/>
      </w:pPr>
      <w:r>
        <w:rPr>
          <w:rFonts w:ascii="仿宋_GB2312" w:hAnsi="仿宋_GB2312" w:cs="仿宋_GB2312" w:eastAsia="仿宋_GB2312"/>
        </w:rPr>
        <w:t>5、社保缴纳证明：提供自2024年11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踏勘时间：2025-06-09 14:30:00</w:t>
            </w:r>
          </w:p>
          <w:p>
            <w:pPr>
              <w:pStyle w:val="null3"/>
              <w:ind w:firstLine="975"/>
            </w:pPr>
            <w:r>
              <w:rPr>
                <w:rFonts w:ascii="仿宋_GB2312" w:hAnsi="仿宋_GB2312" w:cs="仿宋_GB2312" w:eastAsia="仿宋_GB2312"/>
              </w:rPr>
              <w:t>踏勘地点：西安市人民医院（西安市第四医院）行政楼门口集合（供应商可根据自身情况自行决定踏勘需求,是否需要携带拍摄相关设备自行决定。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踏勘时间：2025-06-09 14:30:00</w:t>
            </w:r>
          </w:p>
          <w:p>
            <w:pPr>
              <w:pStyle w:val="null3"/>
              <w:ind w:firstLine="975"/>
            </w:pPr>
            <w:r>
              <w:rPr>
                <w:rFonts w:ascii="仿宋_GB2312" w:hAnsi="仿宋_GB2312" w:cs="仿宋_GB2312" w:eastAsia="仿宋_GB2312"/>
              </w:rPr>
              <w:t>踏勘地点：西安市人民医院（西安市第四医院）行政楼门口集合（供应商可根据自身情况自行决定踏勘需求,是否需要携带拍摄相关设备自行决定。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为了对医院进行形象宣传，持续推进医院宣传作用，扩大医院影响力，确立医院文化品牌，加强各科室的宣传力度，需对西安市人民医院（西安市第四医院）文化宣传视频制作项目进行采购。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标段一：西安市人民医院（西安市第四医院）宣传视频制作项目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标段二：西安市人民医院（西安市第四医院）宣传微电影、纪录片制作项目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标的名称：标段一：西安市人民医院（西安市第四医院）宣传视频制作项目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一、创意专题片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成品限价≤30000元/条。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 视频数量≥10条。</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8.时长≥4分钟，成片分辨率≥</w:t>
            </w:r>
            <w:r>
              <w:rPr>
                <w:rFonts w:ascii="仿宋_GB2312" w:hAnsi="仿宋_GB2312" w:cs="仿宋_GB2312" w:eastAsia="仿宋_GB2312"/>
                <w:sz w:val="24"/>
              </w:rPr>
              <w:t>1920*1080。</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9.创作人员≥5人，必须包含项目对接人1名，策划1名，导演1名，摄像师1名，后期制作1名。</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二、科室宣传片</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10.成品限价≤20000元/部。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16.视频数量≥1条。</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17.时长≥3分钟，成片分辨率≥</w:t>
            </w:r>
            <w:r>
              <w:rPr>
                <w:rFonts w:ascii="仿宋_GB2312" w:hAnsi="仿宋_GB2312" w:cs="仿宋_GB2312" w:eastAsia="仿宋_GB2312"/>
                <w:sz w:val="24"/>
              </w:rPr>
              <w:t>1920*1080。</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18.创作人员≥5人，必须包含项目对接人1名，策划1名，导演1名，摄像师1名，后期制作1名。</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三、短视频</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19.成品限价≤1000元/条。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20.拍摄时，要求专业摄像机（可拍摄1080p到4k ）拍摄。如有需要双机位、布光拍摄，供应商不得推诿。要求有全年重大节日视频策划方案。</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21.视频要求内容符合每一期视频需要拍摄的主题，能展示医院正面形象。</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22.每个镜头要求构图完整、构图干净、角度独特、用光巧妙，后期使用专业剪辑软件进行精细剪辑、调色和包装，确保画面流畅、色彩饱满。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23.交付时，需同时交付成片全高清MP4格式或MOV高清数据文件及视频原素材。</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24.视频数量≥106条。</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25.时长≥40秒，成片分辨率≥</w:t>
            </w:r>
            <w:r>
              <w:rPr>
                <w:rFonts w:ascii="仿宋_GB2312" w:hAnsi="仿宋_GB2312" w:cs="仿宋_GB2312" w:eastAsia="仿宋_GB2312"/>
                <w:sz w:val="24"/>
              </w:rPr>
              <w:t>1920*1080。</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26.必须包含项目对接人1名，摄像师1名，后期制作1名。</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四、活动快剪视频</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27.成品限价≤6000元/条。</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28.需使用两套以上高清摄像设备进行现场多角度、多机位、多景别等拍摄，且有延时拍摄、航拍画面。</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29.每个镜头要求构图完整、构图干净、角度独特、用光巧妙，后期使用专业剪辑软件进行精细剪辑、调色和包装，确保画面流畅、色彩饱满。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30.交付时，需同时交付成片全高清MP4格式或MOV高清数据文件及视频原素材。</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31.视频数量≥4条。</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32.时长≥40秒，成片分辨率≥</w:t>
            </w:r>
            <w:r>
              <w:rPr>
                <w:rFonts w:ascii="仿宋_GB2312" w:hAnsi="仿宋_GB2312" w:cs="仿宋_GB2312" w:eastAsia="仿宋_GB2312"/>
                <w:sz w:val="24"/>
              </w:rPr>
              <w:t>1920*1080</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33.必须包含项目对接人1名，摄像师1名，后期制作1名。</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标的名称：标段二：西安市人民医院（西安市第四医院）宣传微电影、纪录片制作项目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一、微电影</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1.成品限价≤70000元/部。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 视频数量≥1条。</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8.时长：≥5分钟，成片分辨率≥</w:t>
            </w:r>
            <w:r>
              <w:rPr>
                <w:rFonts w:ascii="仿宋_GB2312" w:hAnsi="仿宋_GB2312" w:cs="仿宋_GB2312" w:eastAsia="仿宋_GB2312"/>
                <w:sz w:val="24"/>
              </w:rPr>
              <w:t>1920*1080</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9.创作人员≥5人，必须包含项目对接人1名，策划1名，导演1名，摄像师1名，后期制作1名。</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二、纪录片</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10.成品限价≤30000元/部。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16.视频数量≥6条。</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17.时长≥5分钟，成片分辨率≥</w:t>
            </w:r>
            <w:r>
              <w:rPr>
                <w:rFonts w:ascii="仿宋_GB2312" w:hAnsi="仿宋_GB2312" w:cs="仿宋_GB2312" w:eastAsia="仿宋_GB2312"/>
                <w:sz w:val="24"/>
              </w:rPr>
              <w:t>1920*1080</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18.创作人员≥5人，必须包含项目对接人1名，策划1名，导演1名，摄像师1名，后期制作1名。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一、质量保修范围和保修期： 1.质量保修范围：视频成片修改及补拍。 2.保修期：合同签订后2年以内。 二、知识产权归属和处理方式： 1.供应商交付使用的成果不得侵犯其他人或组织的肖像权、隐私权、知识产权等权益，若由此产生纠纷，由供应商承担。若出现技术、经济或法律上的纠纷，应由供应商全权解决，并确保不影响项目进度。 2.采购人向供应商提供的资料（包括但不限于文字资料、图片、音像作品）的知识产权均属采购人所有，除用于本合同之目的，供应商不得以任何方式进行使用。本合同拍摄成果版权归属采购人所有，未经采购人书面同意，供应商不得将拍摄成果用于任何商业用途或其他非合同约定的用途。 三、成本补偿和风险分担约定： 如验收不合格，供应商应负责整改或重新制作，直至采购人验收合格为止，且服务期不顺延，由此产生的费用及造成的损失， 供应商自行承担。若供应商交付项目验收不合格累计超过3次的，采购人有权选择解除合同，若合同解除，供应商应赔偿解除合同给采购人造成的全部损失（包括但不限于重新开启项目产生的费用、合同未履行导致服务不能按规划提供可能产生的服务费用）。还应按合同总价款的30%支付违约金。若因供应商服务项目验收不合格导致交付延期的，供应商仍应按本合同承担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一、质量保修范围和保修期： 1.质量保修范围：视频成片修改及补拍。 2.保修期：合同签订后2年以内。 二、知识产权归属和处理方式： 1.供应商交付使用的成果不得侵犯其他人或组织的肖像权、隐私权、知识产权等权益，若由此产生纠纷，由供应商承担。若出现技术、经济或法律上的纠纷，应由供应商全权解决，并确保不影响项目进度。 2.采购人向供应商提供的资料（包括但不限于文字资料、图片、音像作品）的知识产权均属采购人所有，除用于本合同之目的，供应商不得以任何方式进行使 用。本合同拍摄成果版权归属采购人所有，未经采购人书面同意，供应商不得将拍摄成果用于任何商业用途或其他非合同约定的用途。 三、成本补偿和风险分担约定： 如验收不合格，供应商应负责整改或重新制作，直至采购人验收合格为止，且服务期不顺延，由此产生的费用及造成的损失， 供应商自行承担。若供应商交付项目验收不合格累计超过3次的，采购人有权选择解除合同，若合同解除，供应商应赔偿解除合同给采购人造成的全部损失（包括但不限于重新开启项目产生的费用、合同未履行导致服务不能按规划提供可能产生的服务费用）。还应按合同总价款的30%支付违约金。若因供应商服务项目验收不合格导致交付延期的，供应商仍应按本合同承担违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西安市人民医院（西安市第四医院）校团委指定地点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西安市人民医院（西安市第四医院）校团委指定地点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成片分辨率≥1920*1080。每个镜头要求构图完整干净、角度到位独特、用光巧妙，后期使用专业剪辑软件进行精细剪辑、调色和包装，确保画面流畅、剪辑、配乐具有节奏感、色彩饱满。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成片分辨率≥1920*1080。每个镜头要求构图完整干净、角度到位独特、用光巧妙，后期使用专业剪辑软件进行精细剪辑、调色和包装，确保画面流畅、剪辑、配乐具有节奏感、色彩饱满。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合同签订后，自接到等额（合同总价的40％）增值税发票之日起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合同服务期到期前，供应商提出验收申请，15日内采购人组织验收。采购人验收合格后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合同签订后，自接到等额（合同总价的40％）增值税发票之日起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合同服务期到期前，供应商提出验收申请，15日内采购人组织验收。采购人验收合格后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根据采购人需要开始进行拍摄、制作。制作之前由供应商明确制作效果。并在采购人要求时间内保证交付，如延期交付，则采购人有权单方面终止合同，供应商应赔偿解除合同给采购人造成的全部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根据采购人需要开始进行拍摄、制作。制作之前由供应商明确制作效果。并在采购人要求时间内保证交付，如延期交付，则采购人有权单方面终止合同，供应商应赔偿解除合同给采购人造成的全部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适用于采购包1和采购包2 一、因采购人为一所三级甲等医院，就诊患者较多，人员较为复杂，病员均为特殊群体，采购人要求在服务过程当中，始终以患者为第一，任何服务开展决不能影响患者正常就诊。 二、无论服务大小、难易以及节假日与夜间服务，要求供应商积极组织服务力量正常服务，服从采购人工作安排。供应商对采购人突发公共卫事件及各项应急预案应积极响应并派员配合及协助工作，不得拒绝推诿。若有无故推诿行为，采购人有权扣除本合同10%的款项，作为违约金。 三、合同支付方式为（采购文件中前后不一致以此处为准）： 1、结算依据：以合同所列单价为结算依据，最终结算总额不能超过合同最高执行总价。 2、（1）合同签订后，自接到等额（合同总价的40％）增值税发票之日起10个工作日内。采购人向供应商预付合同总价的40％，供应商制作的每条视频费用包含脚本创作费、拍摄费、后期制作费及其它履行本合同义务的所有费用。 （2）合同服务期到期前，供应商提出验收申请，15日内采购人组织验收。采购人验收合格后，先从预付款中扣除结算款项，超出部分采取银行转账方式结算，供应商需提供等额合规发票，与采购人结算，自采购人收到供应商开具的合法有效发票之日起10个工作日内支付款项。 3、付款要求：最终结算总额不得超过本项目合同最高执行总价。供应商应在采购人每次付款前提供等额合规发票，否则采购人有权顺延付款期限，且供应商不得以此为由拒绝履行合同义务。 4、（1）进入相关部门“黑名单”的供应商以及有行贿、串标等违法违规行为并经查实的供应商不能参与招标人采购项目的投标活动。对“黑名单”中供应商采取“一票否决”及“随时叫停”机制，在报名、资格审核、评审、公示、合同签订等各环节一旦发现并查实有行贿等违法违规行为的，立即取消其相关资格且终止合同签订。 （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报价表 供应商业绩 响应文件封面 其他材料 残疾人福利性单位声明函 供应商基本信息 供应商企业关联关系声明函 服务方案 标的清单 现场视频演示人员授权书 合同响应偏离表 供应商承诺书 响应函 供应商资格 监狱企业的证明文件 分项报价表（适用于采购包1）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投标人必须满足采购文件的实质性要求。</w:t>
            </w:r>
          </w:p>
        </w:tc>
        <w:tc>
          <w:tcPr>
            <w:tcW w:type="dxa" w:w="1661"/>
          </w:tcPr>
          <w:p>
            <w:pPr>
              <w:pStyle w:val="null3"/>
            </w:pPr>
            <w:r>
              <w:rPr>
                <w:rFonts w:ascii="仿宋_GB2312" w:hAnsi="仿宋_GB2312" w:cs="仿宋_GB2312" w:eastAsia="仿宋_GB2312"/>
              </w:rPr>
              <w:t>服务响应偏离表 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供应商响应承诺书要求</w:t>
            </w:r>
          </w:p>
        </w:tc>
        <w:tc>
          <w:tcPr>
            <w:tcW w:type="dxa" w:w="1661"/>
          </w:tcPr>
          <w:p>
            <w:pPr>
              <w:pStyle w:val="null3"/>
            </w:pPr>
            <w:r>
              <w:rPr>
                <w:rFonts w:ascii="仿宋_GB2312" w:hAnsi="仿宋_GB2312" w:cs="仿宋_GB2312" w:eastAsia="仿宋_GB2312"/>
              </w:rPr>
              <w:t>供应商承诺书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报价表 供应商业绩 响应文件封面 其他材料 残疾人福利性单位声明函 供应商基本信息 供应商企业关联关系声明函 分项报价表（适用于采购包2） 服务方案 标的清单 现场视频演示人员授权书 合同响应偏离表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投标人必须满足采购文件的实质性要求。</w:t>
            </w:r>
          </w:p>
        </w:tc>
        <w:tc>
          <w:tcPr>
            <w:tcW w:type="dxa" w:w="1661"/>
          </w:tcPr>
          <w:p>
            <w:pPr>
              <w:pStyle w:val="null3"/>
            </w:pPr>
            <w:r>
              <w:rPr>
                <w:rFonts w:ascii="仿宋_GB2312" w:hAnsi="仿宋_GB2312" w:cs="仿宋_GB2312" w:eastAsia="仿宋_GB2312"/>
              </w:rPr>
              <w:t>服务响应偏离表 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供应商响应承诺书要求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供应商提供2022年6月1日以来完成的同类项目业绩，每提供1份得2分，最高得10分。 注：需提供完整合同复印件并加盖公章。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供应商完全符合磋商文件的服务要求，没有负偏离得20.5分。 1、带“★”的技术参数（共4项）为实质性要求，不允许负偏离； 2、带“▲”的技术参数（12项）满分12分，每负偏离一项扣1分，扣完为止； 3、无标识的技术参数（共17项）满分8.5分，每负偏离一项扣0.5分，扣完为止。</w:t>
            </w:r>
          </w:p>
        </w:tc>
        <w:tc>
          <w:tcPr>
            <w:tcW w:type="dxa" w:w="831"/>
          </w:tcPr>
          <w:p>
            <w:pPr>
              <w:pStyle w:val="null3"/>
              <w:jc w:val="right"/>
            </w:pPr>
            <w:r>
              <w:rPr>
                <w:rFonts w:ascii="仿宋_GB2312" w:hAnsi="仿宋_GB2312" w:cs="仿宋_GB2312" w:eastAsia="仿宋_GB2312"/>
              </w:rPr>
              <w:t>20.5000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供应商针对本项目提供服务方案，内容包括：①服务内容及质量标准；②服务理念及目标；③总体服务方案。 二、评审标准 1、完整性：方案须全面合理，架构完整对评审内容中的各项要求有详细描述； 2、可实施性：切合本项目实际情况，实施步骤清晰、合理； 3、针对性：方案能够紧扣本项目实际情况，内容科学合理。 三、赋分依据（满分9分） 上述3项评审内容全部满足评审标准得9分；每有一项评审内容缺项扣3分，扣完为止；每有一项评审内容存在缺陷，扣（0-3）分。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供应商针对本项目提供服务保障措施，内容包括：①拍摄制作审核流程的保障措施；②剪辑修片的保障措施；③后期服务的保障措施。 二、评审标准 1、完整性：方案须全面合理，架构完整对评审内容中的各项要求有详细描述； 2、可实施性：切合本项目实际情况，实施步骤清晰、合理； 3、针对性：方案能够紧扣本项目实际情况，内容科学合理。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一、评审内容 投标人针对本项目特点提供服务团队人员配置，内容包含:①人员配置清单（包括但不限于项目对接人、策划、导演、摄像师、后期制作等人员）；②岗位分工、职责；提供相关证明资料（包括但不限于人员姓名、工作职务及职能、等身份证、工作经验等）。 二、评审标准 1、完整性:方案须全面合理，架构完整对评审内容中的各项要求有详细描述；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投标人针对本项目特点提供拟投入①设备配置清单（包括但不限于拍摄器材及组件、辅助工具及后期制作设备、车辆等）；②设备参数标准以及调配安排。 二、评审标准 1、完整性: 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的实际，供应商提供服务承诺以及响应方案，内容包含：①服务承诺（包括但不限于整个项目服务期限内的质量、人员到位情况、服务响应时间、配合程度）；②原创承诺（供应商承诺视频作品须为原创，不得抄袭；如作品中含有的非原创性的内容，包括封面、图片、歌曲、资料等，必须确保无知识产权争议，如有任何侵权行为均由供应商承担相应责任和赔偿）；③后期服务承诺（在视频交付后，提供一定期限的售后服务，如对视频中的小瑕疵进行修改、解答相关疑问等）。 二、评审标准 1、完整性：内容必须全面，对评审内容中的各项要求有详细描述； 2、可实施性：切合项目具体情况，提出责任明确、要求具体的方案； 3、针对性：方案能够紧扣项目实际情况，内容科学合理。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结合本项目的实际，供应商提供服务未达到预期效果的补救措施及应急预案（包括但不限于存储损坏、网络设备损坏、数据 丢失等各种突发事件）。 二、评审标准 1、完整性：内容必须全面，对评审内容中的各项要求有详细描述； 2、可实施性：切合项目具体情况，提出责任明确、要求具体的方案； 3、针对性：方案能够紧扣项目实际情况，内容科学合理。 三、赋分标准（满分4.5分） 上述1项评审内容全部满足评审标准得4.5分；内容缺项扣4.5分，扣完为止；内容存在缺陷，扣（0-4.5）分。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进度计划与安排</w:t>
            </w:r>
          </w:p>
        </w:tc>
        <w:tc>
          <w:tcPr>
            <w:tcW w:type="dxa" w:w="2492"/>
          </w:tcPr>
          <w:p>
            <w:pPr>
              <w:pStyle w:val="null3"/>
            </w:pPr>
            <w:r>
              <w:rPr>
                <w:rFonts w:ascii="仿宋_GB2312" w:hAnsi="仿宋_GB2312" w:cs="仿宋_GB2312" w:eastAsia="仿宋_GB2312"/>
              </w:rPr>
              <w:t>一、评审内容 结合本项目的实际，供应商提供服务进度计划与安排，内容包含：①工作进度计划（包括但不限于项目服务期间的各阶段时间需求确认、方案制定等内容）；②确保工作时效性的安排（包括但不限于项目拍摄周期、制作周期、控制管理、协调管理等内容）。 二、评审标准 1、完整性：内容必须全面，对评审内容中的各项要求有详细描述； 2、可实施性：切合项目具体情况，提出责任明确、要求具体的方案；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视频演示</w:t>
            </w:r>
          </w:p>
        </w:tc>
        <w:tc>
          <w:tcPr>
            <w:tcW w:type="dxa" w:w="2492"/>
          </w:tcPr>
          <w:p>
            <w:pPr>
              <w:pStyle w:val="null3"/>
            </w:pPr>
            <w:r>
              <w:rPr>
                <w:rFonts w:ascii="仿宋_GB2312" w:hAnsi="仿宋_GB2312" w:cs="仿宋_GB2312" w:eastAsia="仿宋_GB2312"/>
              </w:rPr>
              <w:t>一、评审内容 供应商以现场踏勘内容为主题，制作一条科普视频，并委派一名代表（需在响应文件中提供授权书）在磋商现场进行演示，演示时长不超过5分钟。视频内容要兼顾科学与趣味，通俗易懂，适合大众传播。格式：MP4格式，分辨率≥1080p。时长：严格控制在30±2S，含片头片尾。 二、评审标准 磋商小组根据其提供视频的内容创作和技术质量进行综合赋分。 内容创作评审标准：①主题明确；②表现手法新颖；③逻辑清楚；④科普信息准确。 技术质量评审标准：①画面稳定无抖动；②构图合理；③剪辑流畅、转场自然；④音画同步、人声清晰。 三、赋分标准（满分16分） 视频全部满足上述8项评审标准得16分，每有一项评审标准不满足扣2分，扣完为止。 视频格式/时长不符合要求或未提供视频演示此项不得分。 注：①视频递交方式：U盘。 ②递交时间：同响应文件提交截止时间。 ③递交地点：陕西嘉信瑞诚招标有限公司。 ④密封要求：封袋上应标明项目名称和供应商名称并加盖供应商公章。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现场视频演示人员授权书</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分项报价表（适用于采购包1）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供应商提供2022年6月1日以来完成的同类项目业绩，每提供1份得2分，最高得10分。 注：需提供完整合同复印件并加盖公章。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供应商完全符合磋商文件的服务要求，没有负偏离得22分。 1、带“★”的技术参数（共2项）为实质性要求，不允许负偏离； 2、带“▲”的技术参数（6项）满分12分，每负偏离一项扣2分，扣完为止； 3、无标识的技术参数（共10项）满分10分，每负偏离一项扣1分，扣完为止。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供应商针对本项目提供服务方案，内容包括：①服务内容及质量标准；②服务理念及目标；③总体服务方案。 二、评审标准 1、完整性：方案须全面合理，架构完整对评审内容中的各项要求有详细描述； 2、可实施性：切合本项目实际情况，实施步骤清晰、合理； 3、针对性：方案能够紧扣本项目实际情况，内容科学合理。 三、赋分依据（满分9分） 上述3项评审内容全部满足评审标准得9分；每有一项评审内容缺项扣3分，扣完为止；每有一项评审内容存在缺陷，扣（0-3）分。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供应商针对本项目提供服务保障措施，内容包括：①拍摄制作审核流程的保障措施；②剪辑修片的保障措施；③后期服务的保障措施。 二、评审标准 1、完整性：方案须全面合理，架构完整对评审内容中的各项要求有详细描述； 2、可实施性：切合本项目实际情况，实施步骤清晰、合理； 3、针对性：方案能够紧扣本项目实际情况，内容科学合理。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一、评审内容 投标人针对本项目特点提供服务团队人员配置，内容包含:①人员配置清单（包括但不限于项目对接人、策划、导演、摄像师、后期制作等人员）；②岗位分工、职责；提供相关证明资料（包括但不限于人员姓名、工作职务及职能、等身份证、工作经验等）。 二、评审标准 1、完整性:方案须全面合理，架构完整对评审内容中的各项要求有详细描述；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投标人针对本项目特点提供拟投入①设备配置清单（包括但不限于拍摄器材及组件、辅助工具及后期制作设备、车辆等）；②设备参数标准以及调配安排。 二、评审标准 1、完整性: 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的实际，供应商提供服务承诺以及响应方案，内容包含：①服务承诺（包括但不限于整个项目服务期限内的质量、人员到位情况、服务响应时间、配合程度）；②原创承诺（供应商承诺视频作品须为原创，不得抄袭；如作品中含有的非原创性的内容，包括封面、图片、歌曲、资料等，必须确保无知识产权争议，如有任何侵权行为均由供应商承担相应责任和赔偿）；③后期服务承诺（在视频交付后，提供一定期限的售后服务，如对视频中的小瑕疵进行修改、解答相关疑问等）。 二、评审标准 1、完整性：内容必须全面，对评审内容中的各项要求有详细描述； 2、可实施性：切合项目具体情况，提出责任明确、要求具体的方案； 3、针对性：方案能够紧扣项目实际情况，内容科学合理。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结合本项目的实际，供应商提供服务未达到预期效果的补救措施及应急预案（包括但不限于存储损坏、网络设备损坏、数据 丢失等各种突发事件）。 二、评审标准 1、完整性：内容必须全面，对评审内容中的各项要求有详细描述； 2、可实施性：切合项目具体情况，提出责任明确、要求具体的方案； 3、针对性：方案能够紧扣项目实际情况，内容科学合理。 三、赋分标准（满分3分） 上述1项评审内容全部满足评审标准得3分；内容缺项扣3分，扣完为止；内容存在缺陷，扣（0-3）分。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进度计划与安排</w:t>
            </w:r>
          </w:p>
        </w:tc>
        <w:tc>
          <w:tcPr>
            <w:tcW w:type="dxa" w:w="2492"/>
          </w:tcPr>
          <w:p>
            <w:pPr>
              <w:pStyle w:val="null3"/>
            </w:pPr>
            <w:r>
              <w:rPr>
                <w:rFonts w:ascii="仿宋_GB2312" w:hAnsi="仿宋_GB2312" w:cs="仿宋_GB2312" w:eastAsia="仿宋_GB2312"/>
              </w:rPr>
              <w:t>一、评审内容 结合本项目的实际，供应商提供服务进度计划与安排，内容包含：①工作进度计划（包括但不限于项目服务期间的各阶段时间需求确认、方案制定等内容）；②确保工作时效性的安排（包括但不限于项目拍摄周期、制作周期、控制管理、协调管理等内容）。 二、评审标准 1、完整性：内容必须全面，对评审内容中的各项要求有详细描述； 2、可实施性：切合项目具体情况，提出责任明确、要求具体的方案；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视频演示</w:t>
            </w:r>
          </w:p>
        </w:tc>
        <w:tc>
          <w:tcPr>
            <w:tcW w:type="dxa" w:w="2492"/>
          </w:tcPr>
          <w:p>
            <w:pPr>
              <w:pStyle w:val="null3"/>
            </w:pPr>
            <w:r>
              <w:rPr>
                <w:rFonts w:ascii="仿宋_GB2312" w:hAnsi="仿宋_GB2312" w:cs="仿宋_GB2312" w:eastAsia="仿宋_GB2312"/>
              </w:rPr>
              <w:t>一、评审内容 供应商以现场踏勘内容为主题，制作一条科普视频，并委派一名代表（需在响应文件中提供授权书）在磋商现场进行演示，演示时长不超过5分钟。视频内容要兼顾科学与趣味，通俗易懂，适合大众传播。格式：MP4格式，分辨率≥1080p。时长：严格控制在30±2S，含片头片尾。 二、评审标准 磋商小组根据其提供视频的内容创作和技术质量进行综合赋分。 内容创作评审标准：①主题明确；②表现手法新颖；③逻辑清楚；④科普信息准确。 技术质量评审标准：①画面稳定无抖动；②构图合理；③剪辑流畅、转场自然；④音画同步、人声清晰。 三、赋分标准（满分16分） 视频全部满足上述8项评审标准得16分，每有一项评审标准不满足扣2分，扣完为止。 视频格式/时长不符合要求或未提供视频演示此项不得分。 注：①视频递交方式：U盘。 ②递交时间：同响应文件提交截止时间。 ③递交地点：陕西嘉信瑞诚招标有限公司。 ④密封要求：封袋上应标明项目名称和供应商名称并加盖供应商公章。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现场视频演示人员授权书</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分项报价表（适用于采购包2）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详见附件：分项报价表（适用于采购包1）</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详见附件：现场视频演示人员授权书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详见附件：分项报价表（适用于采购包2）</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详见附件：现场视频演示人员授权书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