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B4A60">
      <w:pPr>
        <w:pStyle w:val="4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zh-CN"/>
        </w:rPr>
        <w:t>商务条款偏离表</w:t>
      </w:r>
    </w:p>
    <w:p w14:paraId="47BEBF44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5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55C4F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6676FDA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35013D3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7FB75F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745DFFE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5BD6CD09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556" w:type="dxa"/>
            <w:noWrap/>
            <w:vAlign w:val="center"/>
          </w:tcPr>
          <w:p w14:paraId="217F8B2D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D9D72B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840" w:type="dxa"/>
            <w:noWrap/>
            <w:vAlign w:val="center"/>
          </w:tcPr>
          <w:p w14:paraId="4719A20A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2DC97AA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210245E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01C1B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463A4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95ECAC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F8FE41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3C6F398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3CCD94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7D96FD5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2F3E0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E0C4A6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DB0566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3B5C93A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34C383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7D47A9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96BA86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56237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612FCBE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E7473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1D0F162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1446B39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412144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11CDB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2886B9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12DD5F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4980796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E052CB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111DCAA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41E1281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6EC387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CF492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6DF10FB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9F56AF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2783009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8A2ABA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57BB1B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AC5743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47553EC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19025540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商务要求”中</w:t>
      </w:r>
      <w:r>
        <w:rPr>
          <w:rFonts w:hint="eastAsia" w:ascii="仿宋" w:hAnsi="仿宋" w:eastAsia="仿宋" w:cs="仿宋"/>
          <w:sz w:val="24"/>
          <w:highlight w:val="none"/>
        </w:rPr>
        <w:t>有偏离（包括负偏离和正偏离）的内容，在响应文件中须一一列出，无偏离时须提供空白表。</w:t>
      </w:r>
    </w:p>
    <w:p w14:paraId="58C61292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7ECD9BA1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56753D79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213CEB29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06311FFE">
      <w:pPr>
        <w:shd w:val="clear"/>
        <w:ind w:firstLine="4080" w:firstLineChars="1700"/>
        <w:jc w:val="left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bookmarkStart w:id="0" w:name="_GoBack"/>
      <w:bookmarkEnd w:id="0"/>
    </w:p>
    <w:p w14:paraId="5958E9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46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both"/>
      <w:textAlignment w:val="auto"/>
      <w:outlineLvl w:val="9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2025-06-03T08:16:06Z</dcterms:created>
  <dc:creator>ASUS</dc:creator>
  <cp:lastModifiedBy>陕西笃信招标有限公司</cp:lastModifiedBy>
  <dcterms:modified xsi:type="dcterms:W3CDTF">2025-06-03T08:17:33Z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59CFA4DBB77E4ACCB144DA0907EBD833_12</vt:lpwstr>
  </property>
</Properties>
</file>