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360" w:lineRule="auto"/>
        <w:jc w:val="center"/>
        <w:outlineLvl w:val="0"/>
        <w:rPr>
          <w:rFonts w:hAnsi="宋体" w:cs="宋体"/>
          <w:b/>
          <w:sz w:val="24"/>
          <w:szCs w:val="24"/>
          <w:lang w:val="zh-CN"/>
        </w:rPr>
      </w:pPr>
      <w:r>
        <w:rPr>
          <w:rFonts w:hint="eastAsia" w:hAnsi="宋体" w:cs="宋体"/>
          <w:b/>
          <w:sz w:val="24"/>
          <w:szCs w:val="24"/>
          <w:highlight w:val="none"/>
          <w:lang w:val="zh-CN"/>
        </w:rPr>
        <w:t>拟签订的合同文本</w:t>
      </w:r>
    </w:p>
    <w:p>
      <w:pPr>
        <w:autoSpaceDE w:val="0"/>
        <w:autoSpaceDN w:val="0"/>
        <w:adjustRightInd w:val="0"/>
        <w:spacing w:line="360" w:lineRule="auto"/>
        <w:ind w:firstLine="480" w:firstLineChars="200"/>
        <w:rPr>
          <w:rFonts w:hAnsi="宋体" w:cs="宋体"/>
          <w:sz w:val="24"/>
          <w:szCs w:val="24"/>
        </w:rPr>
      </w:pPr>
      <w:r>
        <w:rPr>
          <w:rFonts w:hint="eastAsia" w:hAnsi="宋体" w:cs="宋体"/>
          <w:sz w:val="24"/>
          <w:szCs w:val="24"/>
        </w:rPr>
        <w:t>（本格式条款供甲乙双方签订合同参考，可根据项目的实际情况增减条款和内容）</w:t>
      </w:r>
    </w:p>
    <w:p>
      <w:pPr>
        <w:autoSpaceDE w:val="0"/>
        <w:autoSpaceDN w:val="0"/>
        <w:adjustRightInd w:val="0"/>
        <w:spacing w:line="360" w:lineRule="auto"/>
        <w:ind w:firstLine="723" w:firstLineChars="200"/>
        <w:jc w:val="center"/>
        <w:rPr>
          <w:rFonts w:hAnsi="宋体" w:cs="宋体"/>
          <w:b/>
          <w:bCs/>
          <w:sz w:val="36"/>
          <w:szCs w:val="36"/>
        </w:rPr>
      </w:pPr>
      <w:r>
        <w:rPr>
          <w:rFonts w:hint="eastAsia" w:hAnsi="宋体" w:cs="宋体"/>
          <w:b/>
          <w:bCs/>
          <w:sz w:val="36"/>
          <w:szCs w:val="36"/>
        </w:rPr>
        <w:t>服 务 合 同</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甲  方：西安市灞桥区人民法院</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 xml:space="preserve">乙  方：                    </w:t>
      </w:r>
    </w:p>
    <w:p>
      <w:pPr>
        <w:autoSpaceDE w:val="0"/>
        <w:autoSpaceDN w:val="0"/>
        <w:adjustRightInd w:val="0"/>
        <w:spacing w:line="360" w:lineRule="auto"/>
        <w:ind w:firstLine="420" w:firstLineChars="200"/>
        <w:rPr>
          <w:rFonts w:hint="eastAsia" w:hAnsi="宋体" w:eastAsia="宋体" w:cs="宋体"/>
          <w:sz w:val="21"/>
          <w:szCs w:val="21"/>
          <w:lang w:eastAsia="zh-CN"/>
        </w:rPr>
      </w:pPr>
      <w:r>
        <w:rPr>
          <w:rFonts w:hint="eastAsia" w:hAnsi="宋体" w:cs="宋体"/>
          <w:sz w:val="21"/>
          <w:szCs w:val="21"/>
        </w:rPr>
        <w:t>鉴证方：</w:t>
      </w:r>
      <w:r>
        <w:rPr>
          <w:rFonts w:hint="eastAsia" w:hAnsi="宋体" w:cs="宋体"/>
          <w:sz w:val="21"/>
          <w:szCs w:val="21"/>
          <w:lang w:eastAsia="zh-CN"/>
        </w:rPr>
        <w:t>陕西玥鑫项目管理有限公司</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鉴证方就甲方所需服务，在西安市财政局的监督管理下，按照政府采购程序组织公开招标，确定乙方为西安市灞桥区人民法院电子卷宗随案同步生成服务项目（</w:t>
      </w:r>
      <w:r>
        <w:rPr>
          <w:rFonts w:hint="eastAsia" w:hAnsi="宋体" w:cs="宋体"/>
          <w:sz w:val="21"/>
          <w:szCs w:val="21"/>
          <w:highlight w:val="none"/>
        </w:rPr>
        <w:t>项目编号：</w:t>
      </w:r>
      <w:r>
        <w:rPr>
          <w:rFonts w:hint="eastAsia" w:hAnsi="宋体" w:cs="宋体"/>
          <w:sz w:val="21"/>
          <w:szCs w:val="21"/>
          <w:highlight w:val="none"/>
          <w:lang w:val="zh-CN"/>
        </w:rPr>
        <w:t>YXZB-2025-0515</w:t>
      </w:r>
      <w:r>
        <w:rPr>
          <w:rFonts w:hint="eastAsia" w:hAnsi="宋体" w:cs="宋体"/>
          <w:sz w:val="21"/>
          <w:szCs w:val="21"/>
        </w:rPr>
        <w:t>）中标人。依据《中华人民共和国政府采购法》、《中华人民共和国民法典》以及招标文件、中标通知书，经甲、乙双方协商，鉴证方确认，达成如下合同条款。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一、合同标的物内容及数量（以投标文件正本和澄清表〈函〉为准）</w:t>
      </w:r>
    </w:p>
    <w:tbl>
      <w:tblPr>
        <w:tblStyle w:val="4"/>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200"/>
        <w:gridCol w:w="1492"/>
        <w:gridCol w:w="1440"/>
        <w:gridCol w:w="1020"/>
        <w:gridCol w:w="1200"/>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1116" w:type="dxa"/>
            <w:vAlign w:val="center"/>
          </w:tcPr>
          <w:p>
            <w:pPr>
              <w:autoSpaceDE w:val="0"/>
              <w:autoSpaceDN w:val="0"/>
              <w:adjustRightInd w:val="0"/>
              <w:spacing w:line="360" w:lineRule="auto"/>
              <w:jc w:val="center"/>
              <w:rPr>
                <w:rFonts w:hAnsi="宋体" w:cs="宋体"/>
                <w:sz w:val="21"/>
                <w:szCs w:val="21"/>
              </w:rPr>
            </w:pPr>
            <w:r>
              <w:rPr>
                <w:rFonts w:hint="eastAsia" w:hAnsi="宋体" w:cs="宋体"/>
                <w:sz w:val="21"/>
                <w:szCs w:val="21"/>
              </w:rPr>
              <w:t>序号</w:t>
            </w:r>
          </w:p>
        </w:tc>
        <w:tc>
          <w:tcPr>
            <w:tcW w:w="1200" w:type="dxa"/>
            <w:vAlign w:val="center"/>
          </w:tcPr>
          <w:p>
            <w:pPr>
              <w:autoSpaceDE w:val="0"/>
              <w:autoSpaceDN w:val="0"/>
              <w:adjustRightInd w:val="0"/>
              <w:spacing w:line="360" w:lineRule="auto"/>
              <w:jc w:val="center"/>
              <w:rPr>
                <w:rFonts w:hAnsi="宋体" w:cs="宋体"/>
                <w:sz w:val="21"/>
                <w:szCs w:val="21"/>
              </w:rPr>
            </w:pPr>
            <w:r>
              <w:rPr>
                <w:rFonts w:hint="eastAsia" w:hAnsi="宋体" w:cs="宋体"/>
                <w:sz w:val="21"/>
                <w:szCs w:val="21"/>
              </w:rPr>
              <w:t>服务名称</w:t>
            </w:r>
          </w:p>
        </w:tc>
        <w:tc>
          <w:tcPr>
            <w:tcW w:w="1492" w:type="dxa"/>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服务内容</w:t>
            </w:r>
          </w:p>
        </w:tc>
        <w:tc>
          <w:tcPr>
            <w:tcW w:w="1440" w:type="dxa"/>
            <w:vAlign w:val="center"/>
          </w:tcPr>
          <w:p>
            <w:pPr>
              <w:autoSpaceDE w:val="0"/>
              <w:autoSpaceDN w:val="0"/>
              <w:adjustRightInd w:val="0"/>
              <w:spacing w:line="360" w:lineRule="auto"/>
              <w:jc w:val="center"/>
              <w:rPr>
                <w:rFonts w:hAnsi="宋体" w:cs="宋体"/>
                <w:sz w:val="21"/>
                <w:szCs w:val="21"/>
              </w:rPr>
            </w:pPr>
            <w:r>
              <w:rPr>
                <w:rFonts w:hint="eastAsia" w:hAnsi="宋体" w:cs="宋体"/>
                <w:sz w:val="21"/>
                <w:szCs w:val="21"/>
              </w:rPr>
              <w:t>计量单位</w:t>
            </w:r>
          </w:p>
        </w:tc>
        <w:tc>
          <w:tcPr>
            <w:tcW w:w="1020" w:type="dxa"/>
            <w:vAlign w:val="center"/>
          </w:tcPr>
          <w:p>
            <w:pPr>
              <w:autoSpaceDE w:val="0"/>
              <w:autoSpaceDN w:val="0"/>
              <w:adjustRightInd w:val="0"/>
              <w:spacing w:line="360" w:lineRule="auto"/>
              <w:jc w:val="center"/>
              <w:rPr>
                <w:rFonts w:hAnsi="宋体" w:cs="宋体"/>
                <w:sz w:val="21"/>
                <w:szCs w:val="21"/>
              </w:rPr>
            </w:pPr>
            <w:r>
              <w:rPr>
                <w:rFonts w:hint="eastAsia" w:hAnsi="宋体" w:cs="宋体"/>
                <w:sz w:val="21"/>
                <w:szCs w:val="21"/>
              </w:rPr>
              <w:t>数量</w:t>
            </w:r>
          </w:p>
        </w:tc>
        <w:tc>
          <w:tcPr>
            <w:tcW w:w="1200" w:type="dxa"/>
            <w:vAlign w:val="center"/>
          </w:tcPr>
          <w:p>
            <w:pPr>
              <w:autoSpaceDE w:val="0"/>
              <w:autoSpaceDN w:val="0"/>
              <w:adjustRightInd w:val="0"/>
              <w:spacing w:line="360" w:lineRule="auto"/>
              <w:jc w:val="center"/>
              <w:rPr>
                <w:rFonts w:hAnsi="宋体" w:cs="宋体"/>
                <w:sz w:val="21"/>
                <w:szCs w:val="21"/>
              </w:rPr>
            </w:pPr>
            <w:r>
              <w:rPr>
                <w:rFonts w:hint="eastAsia" w:hAnsi="宋体" w:cs="宋体"/>
                <w:sz w:val="21"/>
                <w:szCs w:val="21"/>
              </w:rPr>
              <w:t>单价（元）</w:t>
            </w:r>
          </w:p>
        </w:tc>
        <w:tc>
          <w:tcPr>
            <w:tcW w:w="1378" w:type="dxa"/>
            <w:vAlign w:val="center"/>
          </w:tcPr>
          <w:p>
            <w:pPr>
              <w:autoSpaceDE w:val="0"/>
              <w:autoSpaceDN w:val="0"/>
              <w:adjustRightInd w:val="0"/>
              <w:spacing w:line="360" w:lineRule="auto"/>
              <w:jc w:val="center"/>
              <w:rPr>
                <w:rFonts w:hAnsi="宋体" w:cs="宋体"/>
                <w:sz w:val="21"/>
                <w:szCs w:val="21"/>
              </w:rPr>
            </w:pPr>
            <w:r>
              <w:rPr>
                <w:rFonts w:hint="eastAsia" w:hAnsi="宋体" w:cs="宋体"/>
                <w:sz w:val="21"/>
                <w:szCs w:val="21"/>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116" w:type="dxa"/>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w:t>
            </w: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492" w:type="dxa"/>
            <w:vAlign w:val="center"/>
          </w:tcPr>
          <w:p>
            <w:pPr>
              <w:autoSpaceDE w:val="0"/>
              <w:autoSpaceDN w:val="0"/>
              <w:adjustRightInd w:val="0"/>
              <w:spacing w:line="360" w:lineRule="auto"/>
              <w:ind w:firstLine="420" w:firstLineChars="200"/>
              <w:rPr>
                <w:rFonts w:hAnsi="宋体" w:cs="宋体"/>
                <w:sz w:val="21"/>
                <w:szCs w:val="21"/>
              </w:rPr>
            </w:pPr>
          </w:p>
        </w:tc>
        <w:tc>
          <w:tcPr>
            <w:tcW w:w="1440" w:type="dxa"/>
            <w:vAlign w:val="center"/>
          </w:tcPr>
          <w:p>
            <w:pPr>
              <w:autoSpaceDE w:val="0"/>
              <w:autoSpaceDN w:val="0"/>
              <w:adjustRightInd w:val="0"/>
              <w:spacing w:line="360" w:lineRule="auto"/>
              <w:ind w:firstLine="420" w:firstLineChars="200"/>
              <w:rPr>
                <w:rFonts w:hAnsi="宋体" w:cs="宋体"/>
                <w:sz w:val="21"/>
                <w:szCs w:val="21"/>
              </w:rPr>
            </w:pPr>
          </w:p>
        </w:tc>
        <w:tc>
          <w:tcPr>
            <w:tcW w:w="1020" w:type="dxa"/>
            <w:vAlign w:val="center"/>
          </w:tcPr>
          <w:p>
            <w:pPr>
              <w:autoSpaceDE w:val="0"/>
              <w:autoSpaceDN w:val="0"/>
              <w:adjustRightInd w:val="0"/>
              <w:spacing w:line="360" w:lineRule="auto"/>
              <w:ind w:firstLine="420" w:firstLineChars="200"/>
              <w:rPr>
                <w:rFonts w:hAnsi="宋体" w:cs="宋体"/>
                <w:sz w:val="21"/>
                <w:szCs w:val="21"/>
              </w:rPr>
            </w:pP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378" w:type="dxa"/>
            <w:vAlign w:val="center"/>
          </w:tcPr>
          <w:p>
            <w:pPr>
              <w:autoSpaceDE w:val="0"/>
              <w:autoSpaceDN w:val="0"/>
              <w:adjustRightInd w:val="0"/>
              <w:spacing w:line="360" w:lineRule="auto"/>
              <w:ind w:firstLine="420" w:firstLineChars="200"/>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1116" w:type="dxa"/>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2</w:t>
            </w: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492" w:type="dxa"/>
            <w:vAlign w:val="center"/>
          </w:tcPr>
          <w:p>
            <w:pPr>
              <w:autoSpaceDE w:val="0"/>
              <w:autoSpaceDN w:val="0"/>
              <w:adjustRightInd w:val="0"/>
              <w:spacing w:line="360" w:lineRule="auto"/>
              <w:ind w:firstLine="420" w:firstLineChars="200"/>
              <w:rPr>
                <w:rFonts w:hAnsi="宋体" w:cs="宋体"/>
                <w:sz w:val="21"/>
                <w:szCs w:val="21"/>
              </w:rPr>
            </w:pPr>
          </w:p>
        </w:tc>
        <w:tc>
          <w:tcPr>
            <w:tcW w:w="1440" w:type="dxa"/>
            <w:vAlign w:val="center"/>
          </w:tcPr>
          <w:p>
            <w:pPr>
              <w:autoSpaceDE w:val="0"/>
              <w:autoSpaceDN w:val="0"/>
              <w:adjustRightInd w:val="0"/>
              <w:spacing w:line="360" w:lineRule="auto"/>
              <w:ind w:firstLine="420" w:firstLineChars="200"/>
              <w:rPr>
                <w:rFonts w:hAnsi="宋体" w:cs="宋体"/>
                <w:sz w:val="21"/>
                <w:szCs w:val="21"/>
              </w:rPr>
            </w:pPr>
          </w:p>
        </w:tc>
        <w:tc>
          <w:tcPr>
            <w:tcW w:w="1020" w:type="dxa"/>
            <w:vAlign w:val="center"/>
          </w:tcPr>
          <w:p>
            <w:pPr>
              <w:autoSpaceDE w:val="0"/>
              <w:autoSpaceDN w:val="0"/>
              <w:adjustRightInd w:val="0"/>
              <w:spacing w:line="360" w:lineRule="auto"/>
              <w:ind w:firstLine="420" w:firstLineChars="200"/>
              <w:rPr>
                <w:rFonts w:hAnsi="宋体" w:cs="宋体"/>
                <w:sz w:val="21"/>
                <w:szCs w:val="21"/>
              </w:rPr>
            </w:pP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378" w:type="dxa"/>
            <w:vAlign w:val="center"/>
          </w:tcPr>
          <w:p>
            <w:pPr>
              <w:autoSpaceDE w:val="0"/>
              <w:autoSpaceDN w:val="0"/>
              <w:adjustRightInd w:val="0"/>
              <w:spacing w:line="360" w:lineRule="auto"/>
              <w:ind w:firstLine="420" w:firstLineChars="200"/>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116" w:type="dxa"/>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3</w:t>
            </w: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492" w:type="dxa"/>
            <w:vAlign w:val="center"/>
          </w:tcPr>
          <w:p>
            <w:pPr>
              <w:autoSpaceDE w:val="0"/>
              <w:autoSpaceDN w:val="0"/>
              <w:adjustRightInd w:val="0"/>
              <w:spacing w:line="360" w:lineRule="auto"/>
              <w:ind w:firstLine="420" w:firstLineChars="200"/>
              <w:rPr>
                <w:rFonts w:hAnsi="宋体" w:cs="宋体"/>
                <w:sz w:val="21"/>
                <w:szCs w:val="21"/>
              </w:rPr>
            </w:pPr>
          </w:p>
        </w:tc>
        <w:tc>
          <w:tcPr>
            <w:tcW w:w="1440" w:type="dxa"/>
            <w:vAlign w:val="center"/>
          </w:tcPr>
          <w:p>
            <w:pPr>
              <w:autoSpaceDE w:val="0"/>
              <w:autoSpaceDN w:val="0"/>
              <w:adjustRightInd w:val="0"/>
              <w:spacing w:line="360" w:lineRule="auto"/>
              <w:ind w:firstLine="420" w:firstLineChars="200"/>
              <w:rPr>
                <w:rFonts w:hAnsi="宋体" w:cs="宋体"/>
                <w:sz w:val="21"/>
                <w:szCs w:val="21"/>
              </w:rPr>
            </w:pPr>
          </w:p>
        </w:tc>
        <w:tc>
          <w:tcPr>
            <w:tcW w:w="1020" w:type="dxa"/>
            <w:vAlign w:val="center"/>
          </w:tcPr>
          <w:p>
            <w:pPr>
              <w:autoSpaceDE w:val="0"/>
              <w:autoSpaceDN w:val="0"/>
              <w:adjustRightInd w:val="0"/>
              <w:spacing w:line="360" w:lineRule="auto"/>
              <w:ind w:firstLine="420" w:firstLineChars="200"/>
              <w:rPr>
                <w:rFonts w:hAnsi="宋体" w:cs="宋体"/>
                <w:sz w:val="21"/>
                <w:szCs w:val="21"/>
              </w:rPr>
            </w:pP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378" w:type="dxa"/>
            <w:vAlign w:val="center"/>
          </w:tcPr>
          <w:p>
            <w:pPr>
              <w:autoSpaceDE w:val="0"/>
              <w:autoSpaceDN w:val="0"/>
              <w:adjustRightInd w:val="0"/>
              <w:spacing w:line="360" w:lineRule="auto"/>
              <w:ind w:firstLine="420" w:firstLineChars="200"/>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116" w:type="dxa"/>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4</w:t>
            </w: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492" w:type="dxa"/>
            <w:vAlign w:val="center"/>
          </w:tcPr>
          <w:p>
            <w:pPr>
              <w:autoSpaceDE w:val="0"/>
              <w:autoSpaceDN w:val="0"/>
              <w:adjustRightInd w:val="0"/>
              <w:spacing w:line="360" w:lineRule="auto"/>
              <w:ind w:firstLine="420" w:firstLineChars="200"/>
              <w:rPr>
                <w:rFonts w:hAnsi="宋体" w:cs="宋体"/>
                <w:sz w:val="21"/>
                <w:szCs w:val="21"/>
              </w:rPr>
            </w:pPr>
          </w:p>
        </w:tc>
        <w:tc>
          <w:tcPr>
            <w:tcW w:w="1440" w:type="dxa"/>
            <w:vAlign w:val="center"/>
          </w:tcPr>
          <w:p>
            <w:pPr>
              <w:autoSpaceDE w:val="0"/>
              <w:autoSpaceDN w:val="0"/>
              <w:adjustRightInd w:val="0"/>
              <w:spacing w:line="360" w:lineRule="auto"/>
              <w:ind w:firstLine="420" w:firstLineChars="200"/>
              <w:rPr>
                <w:rFonts w:hAnsi="宋体" w:cs="宋体"/>
                <w:sz w:val="21"/>
                <w:szCs w:val="21"/>
              </w:rPr>
            </w:pPr>
          </w:p>
        </w:tc>
        <w:tc>
          <w:tcPr>
            <w:tcW w:w="1020" w:type="dxa"/>
            <w:vAlign w:val="center"/>
          </w:tcPr>
          <w:p>
            <w:pPr>
              <w:autoSpaceDE w:val="0"/>
              <w:autoSpaceDN w:val="0"/>
              <w:adjustRightInd w:val="0"/>
              <w:spacing w:line="360" w:lineRule="auto"/>
              <w:ind w:firstLine="420" w:firstLineChars="200"/>
              <w:rPr>
                <w:rFonts w:hAnsi="宋体" w:cs="宋体"/>
                <w:sz w:val="21"/>
                <w:szCs w:val="21"/>
              </w:rPr>
            </w:pP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378" w:type="dxa"/>
            <w:vAlign w:val="center"/>
          </w:tcPr>
          <w:p>
            <w:pPr>
              <w:autoSpaceDE w:val="0"/>
              <w:autoSpaceDN w:val="0"/>
              <w:adjustRightInd w:val="0"/>
              <w:spacing w:line="360" w:lineRule="auto"/>
              <w:ind w:firstLine="420" w:firstLineChars="200"/>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116" w:type="dxa"/>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w:t>
            </w: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492" w:type="dxa"/>
            <w:vAlign w:val="center"/>
          </w:tcPr>
          <w:p>
            <w:pPr>
              <w:autoSpaceDE w:val="0"/>
              <w:autoSpaceDN w:val="0"/>
              <w:adjustRightInd w:val="0"/>
              <w:spacing w:line="360" w:lineRule="auto"/>
              <w:ind w:firstLine="420" w:firstLineChars="200"/>
              <w:rPr>
                <w:rFonts w:hAnsi="宋体" w:cs="宋体"/>
                <w:sz w:val="21"/>
                <w:szCs w:val="21"/>
              </w:rPr>
            </w:pPr>
          </w:p>
        </w:tc>
        <w:tc>
          <w:tcPr>
            <w:tcW w:w="1440" w:type="dxa"/>
            <w:vAlign w:val="center"/>
          </w:tcPr>
          <w:p>
            <w:pPr>
              <w:autoSpaceDE w:val="0"/>
              <w:autoSpaceDN w:val="0"/>
              <w:adjustRightInd w:val="0"/>
              <w:spacing w:line="360" w:lineRule="auto"/>
              <w:ind w:firstLine="420" w:firstLineChars="200"/>
              <w:rPr>
                <w:rFonts w:hAnsi="宋体" w:cs="宋体"/>
                <w:sz w:val="21"/>
                <w:szCs w:val="21"/>
              </w:rPr>
            </w:pPr>
          </w:p>
        </w:tc>
        <w:tc>
          <w:tcPr>
            <w:tcW w:w="1020" w:type="dxa"/>
            <w:vAlign w:val="center"/>
          </w:tcPr>
          <w:p>
            <w:pPr>
              <w:autoSpaceDE w:val="0"/>
              <w:autoSpaceDN w:val="0"/>
              <w:adjustRightInd w:val="0"/>
              <w:spacing w:line="360" w:lineRule="auto"/>
              <w:ind w:firstLine="420" w:firstLineChars="200"/>
              <w:rPr>
                <w:rFonts w:hAnsi="宋体" w:cs="宋体"/>
                <w:sz w:val="21"/>
                <w:szCs w:val="21"/>
              </w:rPr>
            </w:pPr>
          </w:p>
        </w:tc>
        <w:tc>
          <w:tcPr>
            <w:tcW w:w="1200" w:type="dxa"/>
            <w:vAlign w:val="center"/>
          </w:tcPr>
          <w:p>
            <w:pPr>
              <w:autoSpaceDE w:val="0"/>
              <w:autoSpaceDN w:val="0"/>
              <w:adjustRightInd w:val="0"/>
              <w:spacing w:line="360" w:lineRule="auto"/>
              <w:ind w:firstLine="420" w:firstLineChars="200"/>
              <w:rPr>
                <w:rFonts w:hAnsi="宋体" w:cs="宋体"/>
                <w:sz w:val="21"/>
                <w:szCs w:val="21"/>
              </w:rPr>
            </w:pPr>
          </w:p>
        </w:tc>
        <w:tc>
          <w:tcPr>
            <w:tcW w:w="1378" w:type="dxa"/>
            <w:vAlign w:val="center"/>
          </w:tcPr>
          <w:p>
            <w:pPr>
              <w:autoSpaceDE w:val="0"/>
              <w:autoSpaceDN w:val="0"/>
              <w:adjustRightInd w:val="0"/>
              <w:spacing w:line="360" w:lineRule="auto"/>
              <w:ind w:firstLine="420" w:firstLineChars="200"/>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116" w:type="dxa"/>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合计</w:t>
            </w:r>
          </w:p>
        </w:tc>
        <w:tc>
          <w:tcPr>
            <w:tcW w:w="7730" w:type="dxa"/>
            <w:gridSpan w:val="6"/>
            <w:vAlign w:val="center"/>
          </w:tcPr>
          <w:p>
            <w:pPr>
              <w:autoSpaceDE w:val="0"/>
              <w:autoSpaceDN w:val="0"/>
              <w:adjustRightInd w:val="0"/>
              <w:spacing w:line="360" w:lineRule="auto"/>
              <w:ind w:firstLine="420" w:firstLineChars="200"/>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116" w:type="dxa"/>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说明</w:t>
            </w:r>
          </w:p>
        </w:tc>
        <w:tc>
          <w:tcPr>
            <w:tcW w:w="7730" w:type="dxa"/>
            <w:gridSpan w:val="6"/>
            <w:vAlign w:val="center"/>
          </w:tcPr>
          <w:p>
            <w:pPr>
              <w:autoSpaceDE w:val="0"/>
              <w:autoSpaceDN w:val="0"/>
              <w:adjustRightInd w:val="0"/>
              <w:spacing w:line="360" w:lineRule="auto"/>
              <w:ind w:firstLine="420" w:firstLineChars="200"/>
              <w:rPr>
                <w:rFonts w:hAnsi="宋体" w:cs="宋体"/>
                <w:sz w:val="21"/>
                <w:szCs w:val="21"/>
              </w:rPr>
            </w:pPr>
          </w:p>
        </w:tc>
      </w:tr>
    </w:tbl>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二、服务条件：</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（一）服务地点：甲方指定地点。</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（二）服务期：自合同签订之日起一年。</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三、合同价款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（一）合同总价款为人民币（大写）</w:t>
      </w:r>
      <w:r>
        <w:rPr>
          <w:rFonts w:hint="eastAsia" w:hAnsi="宋体" w:cs="宋体"/>
          <w:sz w:val="21"/>
          <w:szCs w:val="21"/>
          <w:u w:val="single"/>
        </w:rPr>
        <w:t xml:space="preserve">             </w:t>
      </w:r>
      <w:r>
        <w:rPr>
          <w:rFonts w:hint="eastAsia" w:hAnsi="宋体" w:cs="宋体"/>
          <w:sz w:val="21"/>
          <w:szCs w:val="21"/>
        </w:rPr>
        <w:t xml:space="preserve">；¥ </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line="360" w:lineRule="auto"/>
        <w:ind w:firstLine="420" w:firstLineChars="200"/>
        <w:rPr>
          <w:rFonts w:hAnsi="宋体" w:cs="宋体"/>
          <w:sz w:val="21"/>
          <w:szCs w:val="21"/>
        </w:rPr>
      </w:pPr>
      <w:r>
        <w:rPr>
          <w:rFonts w:hint="eastAsia" w:hAnsi="宋体" w:cs="宋体"/>
          <w:sz w:val="21"/>
          <w:szCs w:val="21"/>
        </w:rPr>
        <w:t>（二）合同价包括：完成招标文件中规定的本项目招标内容和范围所需要的全部费用，以及与所报货物、服务相关的所有税费。</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（三）合同价一次性包死，不受市场价格变化因素的影响。</w:t>
      </w:r>
    </w:p>
    <w:p>
      <w:pPr>
        <w:autoSpaceDE w:val="0"/>
        <w:autoSpaceDN w:val="0"/>
        <w:adjustRightInd w:val="0"/>
        <w:spacing w:line="360" w:lineRule="auto"/>
        <w:ind w:firstLine="420" w:firstLineChars="200"/>
        <w:rPr>
          <w:rFonts w:hAnsi="宋体" w:cs="宋体"/>
          <w:sz w:val="21"/>
          <w:szCs w:val="21"/>
          <w:highlight w:val="yellow"/>
        </w:rPr>
      </w:pPr>
      <w:r>
        <w:rPr>
          <w:rFonts w:hint="eastAsia" w:hAnsi="宋体" w:cs="宋体"/>
          <w:sz w:val="21"/>
          <w:szCs w:val="21"/>
        </w:rPr>
        <w:t>四、款项结算</w:t>
      </w:r>
    </w:p>
    <w:p>
      <w:pPr>
        <w:spacing w:line="360" w:lineRule="auto"/>
        <w:ind w:firstLine="480"/>
        <w:rPr>
          <w:rFonts w:hAnsi="宋体" w:cs="宋体"/>
          <w:sz w:val="21"/>
          <w:szCs w:val="21"/>
        </w:rPr>
      </w:pPr>
      <w:bookmarkStart w:id="0" w:name="_Hlk132283369"/>
      <w:r>
        <w:rPr>
          <w:rFonts w:hint="eastAsia" w:hAnsi="宋体" w:cs="宋体"/>
          <w:sz w:val="24"/>
        </w:rPr>
        <w:t>（一）合同签订</w:t>
      </w:r>
      <w:r>
        <w:rPr>
          <w:rFonts w:hint="eastAsia" w:hAnsi="宋体" w:cs="宋体"/>
          <w:sz w:val="24"/>
          <w:lang w:eastAsia="zh-CN"/>
        </w:rPr>
        <w:t>生效</w:t>
      </w:r>
      <w:r>
        <w:rPr>
          <w:rFonts w:hint="eastAsia" w:hAnsi="宋体" w:cs="宋体"/>
          <w:sz w:val="24"/>
        </w:rPr>
        <w:t>后</w:t>
      </w:r>
      <w:r>
        <w:rPr>
          <w:rFonts w:hint="eastAsia" w:hAnsi="宋体" w:cs="宋体"/>
          <w:sz w:val="24"/>
          <w:lang w:val="en-US" w:eastAsia="zh-CN"/>
        </w:rPr>
        <w:t>15日内</w:t>
      </w:r>
      <w:r>
        <w:rPr>
          <w:rFonts w:hint="eastAsia" w:hAnsi="宋体" w:cs="宋体"/>
          <w:sz w:val="24"/>
        </w:rPr>
        <w:t>，甲方向乙方付合同总价款50%作为预付款，项目实施过程中，根据实施进度验收，验收由乙方提出书面申请报告，甲方签字确认进行结算；项目整体验收合格后付款至合同总价100%。</w:t>
      </w:r>
    </w:p>
    <w:bookmarkEnd w:id="0"/>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（二）支付方式：银行转账。</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（三）结算方式：每次付款前乙方向甲方提供合法有效的</w:t>
      </w:r>
      <w:r>
        <w:rPr>
          <w:rFonts w:hint="eastAsia" w:hAnsi="宋体" w:cs="宋体"/>
          <w:sz w:val="21"/>
          <w:szCs w:val="21"/>
          <w:u w:val="single"/>
        </w:rPr>
        <w:t xml:space="preserve">     </w:t>
      </w:r>
      <w:r>
        <w:rPr>
          <w:rFonts w:hint="eastAsia" w:hAnsi="宋体" w:cs="宋体"/>
          <w:sz w:val="21"/>
          <w:szCs w:val="21"/>
        </w:rPr>
        <w:t>发票。乙方持中标通知书、服务合同、发票，与甲方结算。</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五、双方的权利和义务</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（一）甲方的权利和义务</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（由双方协商，必须填写）</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（二）乙方的权利和义务</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（由双方协商，必须填写）</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六、质量保证</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乙方所供服务必须执行下列条款：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（一）服务方案和方式科学、可行，人员配置合理，全面满足要求。</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（二）符合国家有关服务规范要求，确保各项服务达到最佳运行效果。</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（三）乙方提供的服务，若发生侵权而产生的一切后果，由乙方负责。甲方保留索赔权力。</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（四）服务承诺内容。</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（五）双方拟定的其他条款。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七、验收</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（二）乙方向甲方提交服务实施过程中的所有资料。以便甲方日后管理和维护。</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（三）验收依据：</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1、招标文件、投标文件、澄清表（函）；</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2、本合同及附件文本；</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3、国家相应的标准、规范。</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（四）双方拟定的其他条款。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八、违约责任</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（一）合同中未约定的，按《中华人民共和国民法典》中的相关条款执行。</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合同总价款   %的违约金。同时，政府采购监管部门有权依据《政府采购法》及相关法律法规对乙方的违法行为进行相应的处罚。</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（三）在本合同履行过程中，双方因违约或造成对方经济、社会效益等损失的应当赔偿。</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（四）甲方无正当理由拒绝接受服务，需向乙方偿付本合同总价款   %的违约金。甲方由于自身原因逾期付款的，则每日按逾期金额的</w:t>
      </w:r>
      <w:r>
        <w:rPr>
          <w:rFonts w:hint="eastAsia" w:hAnsi="宋体" w:cs="宋体"/>
          <w:sz w:val="21"/>
          <w:szCs w:val="21"/>
          <w:u w:val="single"/>
        </w:rPr>
        <w:t xml:space="preserve">   </w:t>
      </w:r>
      <w:r>
        <w:rPr>
          <w:rFonts w:hint="eastAsia" w:hAnsi="宋体" w:cs="宋体"/>
          <w:sz w:val="21"/>
          <w:szCs w:val="21"/>
        </w:rPr>
        <w:t>%向乙方偿付违约金。</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（五）乙方提供的服务不符合本项目相关文件和本合同规定的，甲方有权拒绝，并且乙方须向甲方支付本合同总价款</w:t>
      </w:r>
      <w:r>
        <w:rPr>
          <w:rFonts w:hint="eastAsia" w:hAnsi="宋体" w:cs="宋体"/>
          <w:sz w:val="21"/>
          <w:szCs w:val="21"/>
          <w:u w:val="single"/>
        </w:rPr>
        <w:t xml:space="preserve">    </w:t>
      </w:r>
      <w:r>
        <w:rPr>
          <w:rFonts w:hint="eastAsia" w:hAnsi="宋体" w:cs="宋体"/>
          <w:sz w:val="21"/>
          <w:szCs w:val="21"/>
        </w:rPr>
        <w:t>%的违约金。</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（六）乙方未能按照本合同约定时间提供服务或完成约定的项目服务内容的，从逾期之日起每日按本合同总价款</w:t>
      </w:r>
      <w:r>
        <w:rPr>
          <w:rFonts w:hint="eastAsia" w:hAnsi="宋体" w:cs="宋体"/>
          <w:sz w:val="21"/>
          <w:szCs w:val="21"/>
          <w:u w:val="single"/>
        </w:rPr>
        <w:t xml:space="preserve">    </w:t>
      </w:r>
      <w:r>
        <w:rPr>
          <w:rFonts w:hint="eastAsia" w:hAnsi="宋体" w:cs="宋体"/>
          <w:sz w:val="21"/>
          <w:szCs w:val="21"/>
        </w:rPr>
        <w:t>%的数额向甲方支付违约金；逾期    日以上的，甲方有权终止合同，由此造成的甲方经济损失由乙方承担。</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（七）未经甲方同意，乙方不得擅自将本合同服务分包或转包第三方承担。</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（八）本合同中各条款约定的违约金可自甲方未支付款项中直接扣除，违约金若不能弥补甲方损失的，乙方还应赔偿甲方损失。</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（九）双方拟定的其他条款。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九、保密条款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（三）本条款为独立条款，本合同的无效、变更、解除和终止均不影响本条款的效力。</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（四）双方拟定的其他条款。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十、争议解决</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（一）本合同在履行过程中发生的争议，由甲、乙双方当事人协商解决，协商不成的按下列第    种方式解决：</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1、提交西安仲裁委员会仲裁；</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2、依法向甲方所在地人民法院起诉。</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（二）本条款为独立条款，本合同的无效、变更、解除和终止均不影响本条款的效力。</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十一、关于送达的约定</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（一）本合同项下甲乙双方任何一方向对方发出的通知、信件、数据电文等，应当发送至本合同下列约定的地址、联系人和通信终端。</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甲方联系人：×××</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联系电话：×××-××××</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联系地址：××××××××，邮编：××××。</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甲方（□同意□不同意）接受电子文件送达，电子终端信息如下：</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移动电话：1××××××××</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传真：×××-××××</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微信号：××××××××</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电子邮箱：×××@×××.Com</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乙方联系人：×××</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联系电话：×××-××××</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联系地址：××××××××，邮编：××××。</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乙方（□同意□不同意）接受电子文件送达，电子终端信息如下：</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移动电话：1××××××××</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传真：×××-××××</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微信号：××××××××</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电子邮箱：×××@×××.Com</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（二）各种通讯方式应当按照下列方式确定其送达时间：</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1、面呈之通知在被通知人签收时视为送达，被通知人未签收的不得视为有效送达。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2、以邮寄方式进行的通知均为应采用邮政挂号快件或特快专递的方式进行，自信件交邮后的第7日视为送达。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3、发出的短信/传真/微信/电子邮件，自前述电子文件内容在发送方正确填写地址且未被系统退回的情况下，视为进入对方数据电子文件接收系统即视为送达。若送达日为非工作日，则视为在下一个工作日送达。</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4、一方当事人变更名称、地址、联系人或通信终端的，应当在变更后3日内及时书面通知对方当事人，对方当事人实际收到变更通知前的送达仍为有效送达，电子送达与书面送达具有同等法律效力。</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十二、合同变更</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十三、合同生效</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本合同一式  份，甲方持  份，乙方持  份，鉴证方持壹份，西安市财政局政府采购管理处备案叁份，本合同甲、乙、鉴证各方签字盖章后生效，合同执行完毕后，自动失效（合同的服务承诺则长期有效）。</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十四、其他事项</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（一）鉴证方作为集中采购代理机构对合同进行确认。</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（二）西安市财政局在合同的履行期间以及履行期后，可以随时检查项目的执行情况，对采购标准、采购内容进行调查核实，并对发现的问题进行处理。</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（三）招标文件、投标文件、澄清表（函）、中标通知书、合同附件均成为合同不可分割的部分。</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（四）甲乙双方因不可抗力导致本合同全部或部分不能履行时，发生不可抗力的一方应当在不可抗力发生后    天内书面通知对方，以减轻可能给对方造成的损失。因不可抗力导致本合同全部或部分不能履行时，双方各自承担其因此而造成的损失、损害。</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（五）合同未尽事宜，由甲、乙双方协商并经鉴证方确认后签订政府采购补充合同，与原合同具有同等法律效力。</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tbl>
      <w:tblPr>
        <w:tblStyle w:val="4"/>
        <w:tblW w:w="949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2"/>
        <w:gridCol w:w="3119"/>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甲  方</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乙  方</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鉴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采购人名称</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（西安市灞桥区人民法院）</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（盖章）</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投标供应商全称</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（请填写具体名称）</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（盖章）</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采购代理机构</w:t>
            </w:r>
          </w:p>
          <w:p>
            <w:pPr>
              <w:autoSpaceDE w:val="0"/>
              <w:autoSpaceDN w:val="0"/>
              <w:adjustRightInd w:val="0"/>
              <w:spacing w:line="360" w:lineRule="auto"/>
              <w:rPr>
                <w:rFonts w:hAnsi="宋体" w:cs="宋体"/>
                <w:sz w:val="21"/>
                <w:szCs w:val="21"/>
              </w:rPr>
            </w:pPr>
            <w:r>
              <w:rPr>
                <w:rFonts w:hint="eastAsia" w:hAnsi="宋体" w:cs="宋体"/>
                <w:sz w:val="21"/>
                <w:szCs w:val="21"/>
              </w:rPr>
              <w:t>（</w:t>
            </w:r>
            <w:r>
              <w:rPr>
                <w:rFonts w:hint="eastAsia" w:hAnsi="宋体" w:cs="宋体"/>
                <w:sz w:val="21"/>
                <w:szCs w:val="21"/>
                <w:lang w:eastAsia="zh-CN"/>
              </w:rPr>
              <w:t>陕西玥鑫项目管理有限公司</w:t>
            </w:r>
            <w:r>
              <w:rPr>
                <w:rFonts w:hint="eastAsia" w:hAnsi="宋体" w:cs="宋体"/>
                <w:sz w:val="21"/>
                <w:szCs w:val="21"/>
              </w:rPr>
              <w:t>）</w:t>
            </w:r>
          </w:p>
          <w:p>
            <w:pPr>
              <w:autoSpaceDE w:val="0"/>
              <w:autoSpaceDN w:val="0"/>
              <w:adjustRightInd w:val="0"/>
              <w:spacing w:line="360" w:lineRule="auto"/>
              <w:rPr>
                <w:rFonts w:hAnsi="宋体" w:cs="宋体"/>
                <w:sz w:val="21"/>
                <w:szCs w:val="21"/>
              </w:rPr>
            </w:pPr>
            <w:r>
              <w:rPr>
                <w:rFonts w:hint="eastAsia" w:hAnsi="宋体" w:cs="宋体"/>
                <w:sz w:val="21"/>
                <w:szCs w:val="21"/>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 xml:space="preserve">地址： </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地址：</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 xml:space="preserve">地址：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邮编：</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邮编：</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 xml:space="preserve">法定代表人： </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法定代表人：</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负责人：</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被授权代表：（签字）</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被授权代表：（签字）</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审核人（签字）：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电话：</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电话：</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承办人（签字）：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传真：</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传真：</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开户银行：</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帐号：</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32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日期：   年   月   日</w:t>
            </w:r>
          </w:p>
        </w:tc>
        <w:tc>
          <w:tcPr>
            <w:tcW w:w="31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日期：   年   月   日</w:t>
            </w:r>
          </w:p>
        </w:tc>
        <w:tc>
          <w:tcPr>
            <w:tcW w:w="311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日期：  年     月     日</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F90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jc w:val="center"/>
      <w:outlineLvl w:val="0"/>
    </w:pPr>
    <w:rPr>
      <w:b/>
      <w:kern w:val="44"/>
      <w:sz w:val="36"/>
      <w:szCs w:val="36"/>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2">
    <w:name w:val="_Style 3"/>
    <w:basedOn w:val="3"/>
    <w:next w:val="1"/>
    <w:qFormat/>
    <w:uiPriority w:val="0"/>
    <w:pPr>
      <w:keepLines w:val="0"/>
      <w:widowControl/>
      <w:spacing w:line="256" w:lineRule="auto"/>
      <w:jc w:val="left"/>
    </w:pPr>
    <w:rPr>
      <w:rFonts w:ascii="Calibri Light" w:hAnsi="Calibri Light"/>
      <w:color w:val="2E74B5"/>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2025-05-27T01:07:14Z</dcterms:created>
  <dc:creator>Administrator</dc:creator>
  <cp:lastModifiedBy>Administrator</cp:lastModifiedBy>
  <dcterms:modified xsi:type="dcterms:W3CDTF">2025-05-27T01:07:24Z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