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分项报价表</w:t>
      </w:r>
    </w:p>
    <w:p>
      <w:pPr>
        <w:pStyle w:val="2"/>
        <w:rPr>
          <w:rFonts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项目编号：</w:t>
      </w:r>
    </w:p>
    <w:p/>
    <w:p>
      <w:pPr>
        <w:rPr>
          <w:rFonts w:hAnsi="宋体" w:cs="宋体"/>
          <w:b/>
          <w:bCs/>
          <w:sz w:val="21"/>
          <w:szCs w:val="21"/>
        </w:rPr>
      </w:pPr>
      <w:r>
        <w:rPr>
          <w:rFonts w:hint="eastAsia" w:hAnsi="宋体" w:cs="宋体"/>
          <w:b/>
          <w:bCs/>
          <w:sz w:val="21"/>
          <w:szCs w:val="21"/>
        </w:rPr>
        <w:t>项目名称：</w:t>
      </w:r>
    </w:p>
    <w:p>
      <w:pPr>
        <w:pStyle w:val="2"/>
      </w:pP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620"/>
        <w:gridCol w:w="2789"/>
        <w:gridCol w:w="1858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2789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（各投标人自行编制）</w:t>
            </w: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2789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2789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2789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3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合计</w:t>
            </w:r>
          </w:p>
        </w:tc>
        <w:tc>
          <w:tcPr>
            <w:tcW w:w="2789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858" w:type="dxa"/>
          </w:tcPr>
          <w:p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Ansi="宋体" w:cs="宋体"/>
          <w:sz w:val="21"/>
          <w:szCs w:val="21"/>
        </w:rPr>
      </w:pPr>
    </w:p>
    <w:p>
      <w:pPr>
        <w:spacing w:line="360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说明：1.各投标人须详细列明投标总报价的组成，且分项报价表之和与投标总价保持一致。针对本项目服务内容编制详细的报价清单，供应商应列明提供相关服务价格明细，服务费包含完成本项目服务所产生的全部费用。</w:t>
      </w:r>
    </w:p>
    <w:p>
      <w:pPr>
        <w:spacing w:line="360" w:lineRule="auto"/>
        <w:ind w:left="420"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2.报价以元为单位，四舍五入精确到小数点后两位。        </w:t>
      </w:r>
    </w:p>
    <w:p>
      <w:pPr>
        <w:spacing w:line="360" w:lineRule="auto"/>
        <w:ind w:left="420"/>
        <w:rPr>
          <w:rFonts w:hAnsi="宋体" w:cs="宋体"/>
          <w:sz w:val="21"/>
          <w:szCs w:val="21"/>
        </w:rPr>
      </w:pPr>
    </w:p>
    <w:p>
      <w:pPr>
        <w:spacing w:line="360" w:lineRule="auto"/>
        <w:ind w:left="420"/>
        <w:rPr>
          <w:rFonts w:hAnsi="宋体" w:cs="宋体"/>
          <w:sz w:val="21"/>
          <w:szCs w:val="21"/>
        </w:rPr>
      </w:pPr>
    </w:p>
    <w:p>
      <w:pPr>
        <w:widowControl/>
        <w:spacing w:line="360" w:lineRule="auto"/>
        <w:ind w:firstLine="3360" w:firstLineChars="1600"/>
        <w:jc w:val="center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投标供应商：</w:t>
      </w:r>
      <w:r>
        <w:rPr>
          <w:rFonts w:hint="eastAsia" w:hAnsi="宋体" w:cs="宋体"/>
          <w:sz w:val="21"/>
          <w:szCs w:val="21"/>
          <w:u w:val="single"/>
        </w:rPr>
        <w:t xml:space="preserve">                    </w:t>
      </w:r>
      <w:r>
        <w:rPr>
          <w:rFonts w:hint="eastAsia" w:hAnsi="宋体" w:cs="宋体"/>
          <w:sz w:val="21"/>
          <w:szCs w:val="21"/>
        </w:rPr>
        <w:t>（全称并加盖公章）</w:t>
      </w:r>
    </w:p>
    <w:p>
      <w:pPr>
        <w:widowControl/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法定代表人或授权代表：</w:t>
      </w:r>
      <w:r>
        <w:rPr>
          <w:rFonts w:hint="eastAsia" w:hAnsi="宋体" w:cs="宋体"/>
          <w:sz w:val="21"/>
          <w:szCs w:val="21"/>
          <w:u w:val="single"/>
        </w:rPr>
        <w:t xml:space="preserve">            </w:t>
      </w:r>
      <w:r>
        <w:rPr>
          <w:rFonts w:hint="eastAsia" w:hAnsi="宋体" w:cs="宋体"/>
          <w:sz w:val="21"/>
          <w:szCs w:val="21"/>
        </w:rPr>
        <w:t>（签字或盖章）</w:t>
      </w:r>
    </w:p>
    <w:p>
      <w:pPr>
        <w:widowControl/>
        <w:spacing w:line="360" w:lineRule="auto"/>
        <w:ind w:firstLine="3570" w:firstLineChars="1700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日  期：         年       月 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9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2025-05-27T03:56:48Z</dcterms:created>
  <dc:creator>Administrator</dc:creator>
  <cp:lastModifiedBy>Administrator</cp:lastModifiedBy>
  <dcterms:modified xsi:type="dcterms:W3CDTF">2025-05-27T03:56:53Z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