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6228A7"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供应商提供不得为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信用中国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网站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(http://www.creditchina.gov.cn)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列入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失信被执行人（页面跳转至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中国执行信息公开网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”htt p://zxgk.court.gov.cn/shixin/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）、重大税收违法失信主体、政府采购严重违法失信行为记录名单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的投标人；不得为中国政府采购网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(htt p://www.ccgp.gov.cn)“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政府采购严重违法失信行为记录名单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的投标人</w:t>
      </w:r>
      <w:bookmarkStart w:id="0" w:name="_GoBack"/>
      <w:bookmarkEnd w:id="0"/>
    </w:p>
    <w:p w14:paraId="04E0028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3E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2025-05-23T09:07:54Z</dcterms:created>
  <dc:creator>Administrator</dc:creator>
  <cp:lastModifiedBy>Administrator</cp:lastModifiedBy>
  <dcterms:modified xsi:type="dcterms:W3CDTF">2025-05-23T09:08:08Z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eyJoZGlkIjoiMmViZDNiYjFjZjE2YjE5MGRiMWY1NjFiNmFjZmI3N2EifQ==</vt:lpwstr>
  </property>
  <property fmtid="{D5CDD505-2E9C-101B-9397-08002B2CF9AE}" pid="4" name="ICV">
    <vt:lpwstr>AAFC7A85234C49528E0CFE378C5AE261_12</vt:lpwstr>
  </property>
</Properties>
</file>