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版本号：LT2025-101920250523001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2025年度军休干部研学活动</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LT2025-1019</w:t>
      </w:r>
      <w:r>
        <w:br/>
      </w:r>
      <w:r>
        <w:br/>
      </w:r>
      <w:r>
        <w:br/>
      </w:r>
    </w:p>
    <w:p>
      <w:pPr>
        <w:pStyle w:val="null3"/>
        <w:jc w:val="center"/>
        <w:outlineLvl w:val="2"/>
      </w:pPr>
      <w:r>
        <w:rPr>
          <w:rFonts w:ascii="仿宋_GB2312" w:hAnsi="仿宋_GB2312" w:cs="仿宋_GB2312" w:eastAsia="仿宋_GB2312"/>
          <w:sz w:val="28"/>
          <w:b/>
        </w:rPr>
        <w:t>西安市杨家村第二军队离休退休干部休养所</w:t>
      </w:r>
    </w:p>
    <w:p>
      <w:pPr>
        <w:pStyle w:val="null3"/>
        <w:jc w:val="center"/>
        <w:outlineLvl w:val="2"/>
      </w:pPr>
      <w:r>
        <w:rPr>
          <w:rFonts w:ascii="仿宋_GB2312" w:hAnsi="仿宋_GB2312" w:cs="仿宋_GB2312" w:eastAsia="仿宋_GB2312"/>
          <w:sz w:val="28"/>
          <w:b/>
        </w:rPr>
        <w:t>陕西龙投国发项目管理有限公司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2025年05月23日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陕西龙投国发项目管理有限公司</w:t>
      </w:r>
      <w:r>
        <w:rPr>
          <w:rFonts w:ascii="仿宋_GB2312" w:hAnsi="仿宋_GB2312" w:cs="仿宋_GB2312" w:eastAsia="仿宋_GB2312"/>
        </w:rPr>
        <w:t>（以下简称“代理机构”）受</w:t>
      </w:r>
      <w:r>
        <w:rPr>
          <w:rFonts w:ascii="仿宋_GB2312" w:hAnsi="仿宋_GB2312" w:cs="仿宋_GB2312" w:eastAsia="仿宋_GB2312"/>
        </w:rPr>
        <w:t>西安市杨家村第二军队离休退休干部休养所</w:t>
      </w:r>
      <w:r>
        <w:rPr>
          <w:rFonts w:ascii="仿宋_GB2312" w:hAnsi="仿宋_GB2312" w:cs="仿宋_GB2312" w:eastAsia="仿宋_GB2312"/>
        </w:rPr>
        <w:t>委托，拟对</w:t>
      </w:r>
      <w:r>
        <w:rPr>
          <w:rFonts w:ascii="仿宋_GB2312" w:hAnsi="仿宋_GB2312" w:cs="仿宋_GB2312" w:eastAsia="仿宋_GB2312"/>
        </w:rPr>
        <w:t>2025年度军休干部研学活动</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LT2025-1019</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2025年度军休干部研学活动</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2025年度军休干部研学活动</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采购包1（2025年度军休干部研学活动）：属于专门面向中小企业采购。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1、营业执照：具有独立承担民事责任能力的法人、其他组织或自然人，并出具合法有效的营业执照或事业单位法人证书等国家规定的相关证明 ，自然人参与的提供其身份证明；</w:t>
      </w:r>
    </w:p>
    <w:p>
      <w:pPr>
        <w:pStyle w:val="null3"/>
      </w:pPr>
      <w:r>
        <w:rPr>
          <w:rFonts w:ascii="仿宋_GB2312" w:hAnsi="仿宋_GB2312" w:cs="仿宋_GB2312" w:eastAsia="仿宋_GB2312"/>
        </w:rPr>
        <w:t>2、法人授权书及被授权人有效身份证明：供应商应授权合法的人员参加磋商全过程，法定代表人直接参加磋商须提交其身份证原件及法定代表人证明书，法定代表人授权代表参加磋商须出具授权书及被授权人身份证；</w:t>
      </w:r>
    </w:p>
    <w:p>
      <w:pPr>
        <w:pStyle w:val="null3"/>
      </w:pPr>
      <w:r>
        <w:rPr>
          <w:rFonts w:ascii="仿宋_GB2312" w:hAnsi="仿宋_GB2312" w:cs="仿宋_GB2312" w:eastAsia="仿宋_GB2312"/>
        </w:rPr>
        <w:t>3、供应商3年内无重大违法记录的书面声明：供应商应具备良好的商业信誉，提供参加政府采购活动前3年内在经营活动中没有重大违法记录的书面声明；</w:t>
      </w:r>
    </w:p>
    <w:p>
      <w:pPr>
        <w:pStyle w:val="null3"/>
      </w:pPr>
      <w:r>
        <w:rPr>
          <w:rFonts w:ascii="仿宋_GB2312" w:hAnsi="仿宋_GB2312" w:cs="仿宋_GB2312" w:eastAsia="仿宋_GB2312"/>
        </w:rPr>
        <w:t>4、财务审计报告：供应商提供2023或2024年的财务审计报告（至少包括资产负债表和利润表，成立时间至提交响应文件截止时间不足一年的可提供成立后任意时段的资产负债表），或其开标前六个月内银行开具的资信证明；</w:t>
      </w:r>
    </w:p>
    <w:p>
      <w:pPr>
        <w:pStyle w:val="null3"/>
      </w:pPr>
      <w:r>
        <w:rPr>
          <w:rFonts w:ascii="仿宋_GB2312" w:hAnsi="仿宋_GB2312" w:cs="仿宋_GB2312" w:eastAsia="仿宋_GB2312"/>
        </w:rPr>
        <w:t>5、履行合同承诺书：具有履行合同所必需的设备和专业技术能力承诺书；</w:t>
      </w:r>
    </w:p>
    <w:p>
      <w:pPr>
        <w:pStyle w:val="null3"/>
      </w:pPr>
      <w:r>
        <w:rPr>
          <w:rFonts w:ascii="仿宋_GB2312" w:hAnsi="仿宋_GB2312" w:cs="仿宋_GB2312" w:eastAsia="仿宋_GB2312"/>
        </w:rPr>
        <w:t>6、社会保障资金缴纳证明：供应商提供已缴存的2024年1月至今任意一个月的社会保障资金缴存单据或社保机构开具的社会保险参保缴费情况证明，单据或证明上应有社保机构或代收机构的公章。依法不需要缴纳社会保障资金的供应商应提供相关文件证明；</w:t>
      </w:r>
    </w:p>
    <w:p>
      <w:pPr>
        <w:pStyle w:val="null3"/>
      </w:pPr>
      <w:r>
        <w:rPr>
          <w:rFonts w:ascii="仿宋_GB2312" w:hAnsi="仿宋_GB2312" w:cs="仿宋_GB2312" w:eastAsia="仿宋_GB2312"/>
        </w:rPr>
        <w:t>7、纳税证明或完税证明：供应商提供已缴纳的2024年1月至今任意一个月的纳税证明或完税证明，纳税证明或完税证明上应有代收机构或税务机关的公章。依法免税的供应商应提供相关文件证明；</w:t>
      </w:r>
    </w:p>
    <w:p>
      <w:pPr>
        <w:pStyle w:val="null3"/>
      </w:pPr>
      <w:r>
        <w:rPr>
          <w:rFonts w:ascii="仿宋_GB2312" w:hAnsi="仿宋_GB2312" w:cs="仿宋_GB2312" w:eastAsia="仿宋_GB2312"/>
        </w:rPr>
        <w:t>8、供应商经营许可证：供应商须具备相关主管部门颁发的《旅行社业务经营许可证》；</w:t>
      </w:r>
    </w:p>
    <w:p>
      <w:pPr>
        <w:pStyle w:val="null3"/>
      </w:pPr>
      <w:r>
        <w:rPr>
          <w:rFonts w:ascii="仿宋_GB2312" w:hAnsi="仿宋_GB2312" w:cs="仿宋_GB2312" w:eastAsia="仿宋_GB2312"/>
        </w:rPr>
        <w:t>9、供应商信用截图：供应商提供不得为“信用中国”网站(http://www.creditchina.gov.cn)列入“失信被执行人（页面跳转至“中国执行信息公开网”htt p://zxgk.court.gov.cn/shixin/）、重大税收违法失信主体、政府采购严重违法失信行为记录名单”的投标人；不得为中国政府采购网(htt p://www.ccgp.gov.cn)“政府采购严重违法失信行为记录名单”的投标人 ；</w:t>
      </w:r>
    </w:p>
    <w:p>
      <w:pPr>
        <w:pStyle w:val="null3"/>
      </w:pPr>
      <w:r>
        <w:rPr>
          <w:rFonts w:ascii="仿宋_GB2312" w:hAnsi="仿宋_GB2312" w:cs="仿宋_GB2312" w:eastAsia="仿宋_GB2312"/>
        </w:rPr>
        <w:t>10、供应商为同一人或者存在直接控股、管理关系承诺书：单位负责人为同一人或者存在直接控股、管理关系的不同供应商，不得参加同一合同项下的政府采购活动；</w:t>
      </w:r>
    </w:p>
    <w:p>
      <w:pPr>
        <w:pStyle w:val="null3"/>
      </w:pPr>
      <w:r>
        <w:rPr>
          <w:rFonts w:ascii="仿宋_GB2312" w:hAnsi="仿宋_GB2312" w:cs="仿宋_GB2312" w:eastAsia="仿宋_GB2312"/>
        </w:rPr>
        <w:t>11、中小企业承诺书：本项目专门面向中小企业采购。</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西安市杨家村第二军队离休退休干部休养所</w:t>
      </w:r>
    </w:p>
    <w:p>
      <w:pPr>
        <w:pStyle w:val="null3"/>
      </w:pPr>
      <w:r>
        <w:rPr>
          <w:rFonts w:ascii="仿宋_GB2312" w:hAnsi="仿宋_GB2312" w:cs="仿宋_GB2312" w:eastAsia="仿宋_GB2312"/>
        </w:rPr>
        <w:t xml:space="preserve"> 地址： </w:t>
      </w:r>
      <w:r>
        <w:rPr>
          <w:rFonts w:ascii="仿宋_GB2312" w:hAnsi="仿宋_GB2312" w:cs="仿宋_GB2312" w:eastAsia="仿宋_GB2312"/>
        </w:rPr>
        <w:t>长安南路248号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西安市杨家村第二军队离休退休干部休养所经办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13335388601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陕西龙投国发项目管理有限公司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陕西省西安市碑林区陕西省西安市碑林区更新街13号铭爵大厦20707室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党洁</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029-87976716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招标代理服务收费管理暂行办法》（计价格[2002]1980号）和国家发展改革委员会办公厅颁发的《关于招标代理服务收费有关问题的通知》（发改办价格[2003]857号）的有关规定执行。 成交单位在领取成交通知书前，须向采购代理机构支付代理服务费。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西安市杨家村第二军队离休退休干部休养所</w:t>
      </w:r>
      <w:r>
        <w:rPr>
          <w:rFonts w:ascii="仿宋_GB2312" w:hAnsi="仿宋_GB2312" w:cs="仿宋_GB2312" w:eastAsia="仿宋_GB2312"/>
        </w:rPr>
        <w:t>和</w:t>
      </w:r>
      <w:r>
        <w:rPr>
          <w:rFonts w:ascii="仿宋_GB2312" w:hAnsi="仿宋_GB2312" w:cs="仿宋_GB2312" w:eastAsia="仿宋_GB2312"/>
        </w:rPr>
        <w:t>陕西龙投国发项目管理有限公司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西安市杨家村第二军队离休退休干部休养所</w:t>
      </w:r>
      <w:r>
        <w:rPr>
          <w:rFonts w:ascii="仿宋_GB2312" w:hAnsi="仿宋_GB2312" w:cs="仿宋_GB2312" w:eastAsia="仿宋_GB2312"/>
        </w:rPr>
        <w:t>负责解释。除上述磋商文件内容，其他内容由</w:t>
      </w:r>
      <w:r>
        <w:rPr>
          <w:rFonts w:ascii="仿宋_GB2312" w:hAnsi="仿宋_GB2312" w:cs="仿宋_GB2312" w:eastAsia="仿宋_GB2312"/>
        </w:rPr>
        <w:t>陕西龙投国发项目管理有限公司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西安市杨家村第二军队离休退休干部休养所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陕西龙投国发项目管理有限公司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以实际合同内容为准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陕西龙投国发项目管理有限公司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陕西龙投国发项目管理有限公司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陕西龙投国发项目管理有限公司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联系人：党洁</w:t>
      </w:r>
    </w:p>
    <w:p>
      <w:pPr>
        <w:pStyle w:val="null3"/>
      </w:pPr>
      <w:r>
        <w:rPr>
          <w:rFonts w:ascii="仿宋_GB2312" w:hAnsi="仿宋_GB2312" w:cs="仿宋_GB2312" w:eastAsia="仿宋_GB2312"/>
        </w:rPr>
        <w:t>联系电话：029-87976716</w:t>
      </w:r>
    </w:p>
    <w:p>
      <w:pPr>
        <w:pStyle w:val="null3"/>
      </w:pPr>
      <w:r>
        <w:rPr>
          <w:rFonts w:ascii="仿宋_GB2312" w:hAnsi="仿宋_GB2312" w:cs="仿宋_GB2312" w:eastAsia="仿宋_GB2312"/>
        </w:rPr>
        <w:t>地址：陕西省西安市碑林区更新街13号铭爵大厦20707室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 xml:space="preserve"> 2025年度军休干部研学活动</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350,000.00</w:t>
      </w:r>
    </w:p>
    <w:p>
      <w:pPr>
        <w:pStyle w:val="null3"/>
      </w:pPr>
      <w:r>
        <w:rPr>
          <w:rFonts w:ascii="仿宋_GB2312" w:hAnsi="仿宋_GB2312" w:cs="仿宋_GB2312" w:eastAsia="仿宋_GB2312"/>
        </w:rPr>
        <w:t>采购包最高限价（元）: 350,000.00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2025年度军休干部研学活动</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350,000.00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标的名称：2025年度军休干部研学活动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b/>
              </w:rPr>
              <w:t>一、项目服务内容：</w:t>
            </w:r>
          </w:p>
          <w:p>
            <w:pPr>
              <w:pStyle w:val="null3"/>
              <w:jc w:val="both"/>
            </w:pPr>
            <w:r>
              <w:rPr>
                <w:rFonts w:ascii="仿宋_GB2312" w:hAnsi="仿宋_GB2312" w:cs="仿宋_GB2312" w:eastAsia="仿宋_GB2312"/>
                <w:sz w:val="24"/>
                <w:b/>
              </w:rPr>
              <w:t>1.1项目概况：</w:t>
            </w:r>
          </w:p>
          <w:p>
            <w:pPr>
              <w:pStyle w:val="null3"/>
              <w:ind w:firstLine="480"/>
              <w:jc w:val="both"/>
            </w:pPr>
            <w:r>
              <w:rPr>
                <w:rFonts w:ascii="仿宋_GB2312" w:hAnsi="仿宋_GB2312" w:cs="仿宋_GB2312" w:eastAsia="仿宋_GB2312"/>
                <w:sz w:val="24"/>
              </w:rPr>
              <w:t>根据中办发</w:t>
            </w:r>
            <w:r>
              <w:rPr>
                <w:rFonts w:ascii="仿宋_GB2312" w:hAnsi="仿宋_GB2312" w:cs="仿宋_GB2312" w:eastAsia="仿宋_GB2312"/>
                <w:sz w:val="24"/>
              </w:rPr>
              <w:t>[2004]2号文件《关于进一步做好军队离休退休干部移交政府安置管理工作的意见》要求，开展军休干部教育实践活动既是落实军休干部生活待遇的要求，又是保持军休干部思想常新、与时俱进的一项重要的政治任务。此项活动是各地军休机构多年来约定成俗的一项重要活动，是我所每年度参与最广、好评最高的一项活动，更是丰富军休干部精神文化生活和促进军休队伍和谐稳定不可或缺的重要组成部分。</w:t>
            </w:r>
          </w:p>
          <w:p>
            <w:pPr>
              <w:pStyle w:val="null3"/>
              <w:jc w:val="both"/>
            </w:pPr>
            <w:r>
              <w:rPr>
                <w:rFonts w:ascii="仿宋_GB2312" w:hAnsi="仿宋_GB2312" w:cs="仿宋_GB2312" w:eastAsia="仿宋_GB2312"/>
                <w:sz w:val="24"/>
                <w:b/>
              </w:rPr>
              <w:t>1.2活动路线及内容：</w:t>
            </w:r>
            <w:r>
              <w:rPr>
                <w:rFonts w:ascii="仿宋_GB2312" w:hAnsi="仿宋_GB2312" w:cs="仿宋_GB2312" w:eastAsia="仿宋_GB2312"/>
                <w:sz w:val="24"/>
              </w:rPr>
              <w:t>（两日游活动）</w:t>
            </w:r>
          </w:p>
          <w:tbl>
            <w:tblPr>
              <w:tblBorders>
                <w:top w:val="none" w:color="000000" w:sz="4"/>
                <w:left w:val="none" w:color="000000" w:sz="4"/>
                <w:bottom w:val="none" w:color="000000" w:sz="4"/>
                <w:right w:val="none" w:color="000000" w:sz="4"/>
                <w:insideH w:val="none"/>
                <w:insideV w:val="none"/>
              </w:tblBorders>
            </w:tblPr>
            <w:tblGrid>
              <w:gridCol w:w="438"/>
              <w:gridCol w:w="438"/>
              <w:gridCol w:w="334"/>
              <w:gridCol w:w="377"/>
              <w:gridCol w:w="527"/>
              <w:gridCol w:w="438"/>
            </w:tblGrid>
            <w:tr>
              <w:tc>
                <w:tcPr>
                  <w:tcW w:type="dxa" w:w="43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序号</w:t>
                  </w:r>
                </w:p>
              </w:tc>
              <w:tc>
                <w:tcPr>
                  <w:tcW w:type="dxa" w:w="43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线路</w:t>
                  </w:r>
                </w:p>
              </w:tc>
              <w:tc>
                <w:tcPr>
                  <w:tcW w:type="dxa" w:w="33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天数</w:t>
                  </w:r>
                </w:p>
              </w:tc>
              <w:tc>
                <w:tcPr>
                  <w:tcW w:type="dxa" w:w="37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交通</w:t>
                  </w:r>
                </w:p>
              </w:tc>
              <w:tc>
                <w:tcPr>
                  <w:tcW w:type="dxa" w:w="52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shd w:fill="FFFFFF" w:val="clear"/>
                    </w:rPr>
                    <w:t>餐食及</w:t>
                  </w:r>
                  <w:r>
                    <w:rPr>
                      <w:rFonts w:ascii="仿宋_GB2312" w:hAnsi="仿宋_GB2312" w:cs="仿宋_GB2312" w:eastAsia="仿宋_GB2312"/>
                      <w:sz w:val="24"/>
                      <w:color w:val="000000"/>
                      <w:shd w:fill="FFFFFF" w:val="clear"/>
                    </w:rPr>
                    <w:t>住宿</w:t>
                  </w:r>
                </w:p>
              </w:tc>
              <w:tc>
                <w:tcPr>
                  <w:tcW w:type="dxa" w:w="43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预算金额</w:t>
                  </w:r>
                </w:p>
              </w:tc>
            </w:tr>
            <w:tr>
              <w:tc>
                <w:tcPr>
                  <w:tcW w:type="dxa" w:w="4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4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宝鸡眉县：红河谷</w:t>
                  </w:r>
                  <w:r>
                    <w:rPr>
                      <w:rFonts w:ascii="仿宋_GB2312" w:hAnsi="仿宋_GB2312" w:cs="仿宋_GB2312" w:eastAsia="仿宋_GB2312"/>
                      <w:sz w:val="24"/>
                    </w:rPr>
                    <w:t>-扶眉战役纪念馆-眉县博物馆</w:t>
                  </w:r>
                </w:p>
              </w:tc>
              <w:tc>
                <w:tcPr>
                  <w:tcW w:type="dxa" w:w="3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2日</w:t>
                  </w:r>
                </w:p>
              </w:tc>
              <w:tc>
                <w:tcPr>
                  <w:tcW w:type="dxa" w:w="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大巴</w:t>
                  </w:r>
                </w:p>
              </w:tc>
              <w:tc>
                <w:tcPr>
                  <w:tcW w:type="dxa" w:w="5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三正餐</w:t>
                  </w:r>
                </w:p>
              </w:tc>
              <w:tc>
                <w:tcPr>
                  <w:tcW w:type="dxa" w:w="4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700元</w:t>
                  </w:r>
                </w:p>
              </w:tc>
            </w:tr>
            <w:tr>
              <w:tc>
                <w:tcPr>
                  <w:tcW w:type="dxa" w:w="4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4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宝鸡凤县：灵官峡、凤县革命纪念馆、西凤酒厂</w:t>
                  </w:r>
                </w:p>
              </w:tc>
              <w:tc>
                <w:tcPr>
                  <w:tcW w:type="dxa" w:w="3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2日</w:t>
                  </w:r>
                </w:p>
              </w:tc>
              <w:tc>
                <w:tcPr>
                  <w:tcW w:type="dxa" w:w="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大巴</w:t>
                  </w:r>
                </w:p>
              </w:tc>
              <w:tc>
                <w:tcPr>
                  <w:tcW w:type="dxa" w:w="5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三正餐</w:t>
                  </w:r>
                </w:p>
              </w:tc>
              <w:tc>
                <w:tcPr>
                  <w:tcW w:type="dxa" w:w="4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700元</w:t>
                  </w:r>
                </w:p>
              </w:tc>
            </w:tr>
            <w:tr>
              <w:tc>
                <w:tcPr>
                  <w:tcW w:type="dxa" w:w="4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4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商洛：秦岭江山、秦岭博物馆、金凤山红军广场</w:t>
                  </w:r>
                </w:p>
              </w:tc>
              <w:tc>
                <w:tcPr>
                  <w:tcW w:type="dxa" w:w="3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2日</w:t>
                  </w:r>
                </w:p>
              </w:tc>
              <w:tc>
                <w:tcPr>
                  <w:tcW w:type="dxa" w:w="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大巴</w:t>
                  </w:r>
                </w:p>
              </w:tc>
              <w:tc>
                <w:tcPr>
                  <w:tcW w:type="dxa" w:w="5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三正餐</w:t>
                  </w:r>
                </w:p>
              </w:tc>
              <w:tc>
                <w:tcPr>
                  <w:tcW w:type="dxa" w:w="4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700元</w:t>
                  </w:r>
                </w:p>
              </w:tc>
            </w:tr>
            <w:tr>
              <w:tc>
                <w:tcPr>
                  <w:tcW w:type="dxa" w:w="4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4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商洛：秦岭博物馆、棣花古镇、金丝峡</w:t>
                  </w:r>
                </w:p>
              </w:tc>
              <w:tc>
                <w:tcPr>
                  <w:tcW w:type="dxa" w:w="3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2日</w:t>
                  </w:r>
                </w:p>
              </w:tc>
              <w:tc>
                <w:tcPr>
                  <w:tcW w:type="dxa" w:w="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大巴</w:t>
                  </w:r>
                </w:p>
              </w:tc>
              <w:tc>
                <w:tcPr>
                  <w:tcW w:type="dxa" w:w="5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三正餐</w:t>
                  </w:r>
                </w:p>
              </w:tc>
              <w:tc>
                <w:tcPr>
                  <w:tcW w:type="dxa" w:w="4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700元</w:t>
                  </w:r>
                </w:p>
              </w:tc>
            </w:tr>
            <w:tr>
              <w:tc>
                <w:tcPr>
                  <w:tcW w:type="dxa" w:w="4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4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马栏革命遗址、石门山森林公园、唐家大院</w:t>
                  </w:r>
                </w:p>
              </w:tc>
              <w:tc>
                <w:tcPr>
                  <w:tcW w:type="dxa" w:w="3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2日</w:t>
                  </w:r>
                </w:p>
              </w:tc>
              <w:tc>
                <w:tcPr>
                  <w:tcW w:type="dxa" w:w="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大巴</w:t>
                  </w:r>
                </w:p>
              </w:tc>
              <w:tc>
                <w:tcPr>
                  <w:tcW w:type="dxa" w:w="5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三正餐</w:t>
                  </w:r>
                </w:p>
              </w:tc>
              <w:tc>
                <w:tcPr>
                  <w:tcW w:type="dxa" w:w="4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700元</w:t>
                  </w:r>
                </w:p>
              </w:tc>
            </w:tr>
            <w:tr>
              <w:tc>
                <w:tcPr>
                  <w:tcW w:type="dxa" w:w="4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4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咸阳：咸阳博物馆、茂陵博物馆、咸阳古渡廊桥、观看赳赳大秦</w:t>
                  </w:r>
                </w:p>
              </w:tc>
              <w:tc>
                <w:tcPr>
                  <w:tcW w:type="dxa" w:w="3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2日</w:t>
                  </w:r>
                </w:p>
              </w:tc>
              <w:tc>
                <w:tcPr>
                  <w:tcW w:type="dxa" w:w="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大巴</w:t>
                  </w:r>
                </w:p>
              </w:tc>
              <w:tc>
                <w:tcPr>
                  <w:tcW w:type="dxa" w:w="5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三正餐</w:t>
                  </w:r>
                </w:p>
              </w:tc>
              <w:tc>
                <w:tcPr>
                  <w:tcW w:type="dxa" w:w="4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700元</w:t>
                  </w:r>
                </w:p>
              </w:tc>
            </w:tr>
          </w:tbl>
          <w:p>
            <w:pPr>
              <w:pStyle w:val="null3"/>
              <w:jc w:val="both"/>
            </w:pPr>
            <w:r>
              <w:rPr>
                <w:rFonts w:ascii="仿宋_GB2312" w:hAnsi="仿宋_GB2312" w:cs="仿宋_GB2312" w:eastAsia="仿宋_GB2312"/>
                <w:sz w:val="24"/>
                <w:b/>
                <w:color w:val="000000"/>
                <w:shd w:fill="FFFFFF" w:val="clear"/>
              </w:rPr>
              <w:t>1.3</w:t>
            </w:r>
            <w:r>
              <w:rPr>
                <w:rFonts w:ascii="仿宋_GB2312" w:hAnsi="仿宋_GB2312" w:cs="仿宋_GB2312" w:eastAsia="仿宋_GB2312"/>
                <w:sz w:val="24"/>
                <w:b/>
                <w:color w:val="000000"/>
                <w:shd w:fill="FFFFFF" w:val="clear"/>
              </w:rPr>
              <w:t>接待要求</w:t>
            </w:r>
            <w:r>
              <w:rPr>
                <w:rFonts w:ascii="仿宋_GB2312" w:hAnsi="仿宋_GB2312" w:cs="仿宋_GB2312" w:eastAsia="仿宋_GB2312"/>
                <w:sz w:val="24"/>
                <w:b/>
                <w:color w:val="000000"/>
                <w:shd w:fill="FFFFFF" w:val="clear"/>
              </w:rPr>
              <w:t>：</w:t>
            </w:r>
          </w:p>
          <w:p>
            <w:pPr>
              <w:pStyle w:val="null3"/>
              <w:ind w:firstLine="420"/>
              <w:jc w:val="both"/>
            </w:pPr>
            <w:r>
              <w:rPr>
                <w:rFonts w:ascii="仿宋_GB2312" w:hAnsi="仿宋_GB2312" w:cs="仿宋_GB2312" w:eastAsia="仿宋_GB2312"/>
                <w:sz w:val="24"/>
                <w:color w:val="000000"/>
                <w:shd w:fill="FFFFFF" w:val="clear"/>
              </w:rPr>
              <w:t>1、合同：乙方根据甲方要求，在确定线路后签订学习实践合同。</w:t>
            </w:r>
          </w:p>
          <w:p>
            <w:pPr>
              <w:pStyle w:val="null3"/>
              <w:ind w:firstLine="420"/>
              <w:jc w:val="both"/>
            </w:pPr>
            <w:r>
              <w:rPr>
                <w:rFonts w:ascii="仿宋_GB2312" w:hAnsi="仿宋_GB2312" w:cs="仿宋_GB2312" w:eastAsia="仿宋_GB2312"/>
                <w:sz w:val="24"/>
                <w:color w:val="000000"/>
                <w:shd w:fill="FFFFFF" w:val="clear"/>
              </w:rPr>
              <w:t>2、通知：团队出行事宜确定以后，要确保逐一通知到位（时间、地点），做好备案登记；</w:t>
            </w:r>
          </w:p>
          <w:p>
            <w:pPr>
              <w:pStyle w:val="null3"/>
              <w:ind w:firstLine="420"/>
              <w:jc w:val="both"/>
            </w:pPr>
            <w:r>
              <w:rPr>
                <w:rFonts w:ascii="仿宋_GB2312" w:hAnsi="仿宋_GB2312" w:cs="仿宋_GB2312" w:eastAsia="仿宋_GB2312"/>
                <w:sz w:val="24"/>
                <w:color w:val="000000"/>
                <w:shd w:fill="FFFFFF" w:val="clear"/>
              </w:rPr>
              <w:t>3、车辆：出行采用的交通工具由</w:t>
            </w:r>
            <w:r>
              <w:rPr>
                <w:rFonts w:ascii="仿宋_GB2312" w:hAnsi="仿宋_GB2312" w:cs="仿宋_GB2312" w:eastAsia="仿宋_GB2312"/>
                <w:sz w:val="24"/>
                <w:color w:val="000000"/>
                <w:shd w:fill="FFFFFF" w:val="clear"/>
              </w:rPr>
              <w:t>乙方</w:t>
            </w:r>
            <w:r>
              <w:rPr>
                <w:rFonts w:ascii="仿宋_GB2312" w:hAnsi="仿宋_GB2312" w:cs="仿宋_GB2312" w:eastAsia="仿宋_GB2312"/>
                <w:sz w:val="24"/>
                <w:color w:val="000000"/>
                <w:shd w:fill="FFFFFF" w:val="clear"/>
              </w:rPr>
              <w:t>负责，</w:t>
            </w:r>
            <w:r>
              <w:rPr>
                <w:rFonts w:ascii="仿宋_GB2312" w:hAnsi="仿宋_GB2312" w:cs="仿宋_GB2312" w:eastAsia="仿宋_GB2312"/>
                <w:sz w:val="24"/>
                <w:color w:val="000000"/>
                <w:shd w:fill="FFFFFF" w:val="clear"/>
              </w:rPr>
              <w:t>甲</w:t>
            </w:r>
            <w:r>
              <w:rPr>
                <w:rFonts w:ascii="仿宋_GB2312" w:hAnsi="仿宋_GB2312" w:cs="仿宋_GB2312" w:eastAsia="仿宋_GB2312"/>
                <w:sz w:val="24"/>
                <w:color w:val="000000"/>
                <w:shd w:fill="FFFFFF" w:val="clear"/>
              </w:rPr>
              <w:t>方</w:t>
            </w:r>
            <w:r>
              <w:rPr>
                <w:rFonts w:ascii="仿宋_GB2312" w:hAnsi="仿宋_GB2312" w:cs="仿宋_GB2312" w:eastAsia="仿宋_GB2312"/>
                <w:sz w:val="24"/>
                <w:color w:val="000000"/>
                <w:shd w:fill="FFFFFF" w:val="clear"/>
              </w:rPr>
              <w:t>只需</w:t>
            </w:r>
            <w:r>
              <w:rPr>
                <w:rFonts w:ascii="仿宋_GB2312" w:hAnsi="仿宋_GB2312" w:cs="仿宋_GB2312" w:eastAsia="仿宋_GB2312"/>
                <w:sz w:val="24"/>
                <w:color w:val="000000"/>
                <w:shd w:fill="FFFFFF" w:val="clear"/>
              </w:rPr>
              <w:t>配备应急保障车</w:t>
            </w:r>
            <w:r>
              <w:rPr>
                <w:rFonts w:ascii="仿宋_GB2312" w:hAnsi="仿宋_GB2312" w:cs="仿宋_GB2312" w:eastAsia="仿宋_GB2312"/>
                <w:sz w:val="24"/>
                <w:color w:val="000000"/>
                <w:shd w:fill="FFFFFF" w:val="clear"/>
              </w:rPr>
              <w:t>一辆</w:t>
            </w:r>
            <w:r>
              <w:rPr>
                <w:rFonts w:ascii="仿宋_GB2312" w:hAnsi="仿宋_GB2312" w:cs="仿宋_GB2312" w:eastAsia="仿宋_GB2312"/>
                <w:sz w:val="24"/>
                <w:color w:val="000000"/>
                <w:shd w:fill="FFFFFF" w:val="clear"/>
              </w:rPr>
              <w:t>（预防突发事件紧急护送）。</w:t>
            </w:r>
          </w:p>
          <w:p>
            <w:pPr>
              <w:pStyle w:val="null3"/>
              <w:ind w:firstLine="420"/>
              <w:jc w:val="both"/>
            </w:pPr>
            <w:r>
              <w:rPr>
                <w:rFonts w:ascii="仿宋_GB2312" w:hAnsi="仿宋_GB2312" w:cs="仿宋_GB2312" w:eastAsia="仿宋_GB2312"/>
                <w:sz w:val="24"/>
                <w:color w:val="000000"/>
                <w:shd w:fill="FFFFFF" w:val="clear"/>
              </w:rPr>
              <w:t>4、住宿：</w:t>
            </w:r>
            <w:r>
              <w:rPr>
                <w:rFonts w:ascii="仿宋_GB2312" w:hAnsi="仿宋_GB2312" w:cs="仿宋_GB2312" w:eastAsia="仿宋_GB2312"/>
                <w:sz w:val="24"/>
                <w:color w:val="000000"/>
                <w:shd w:fill="FFFFFF" w:val="clear"/>
              </w:rPr>
              <w:t>高档型</w:t>
            </w:r>
            <w:r>
              <w:rPr>
                <w:rFonts w:ascii="仿宋_GB2312" w:hAnsi="仿宋_GB2312" w:cs="仿宋_GB2312" w:eastAsia="仿宋_GB2312"/>
                <w:sz w:val="24"/>
                <w:color w:val="000000"/>
                <w:shd w:fill="FFFFFF" w:val="clear"/>
              </w:rPr>
              <w:t>酒店，要求酒店位置好，房间大、有独立的早餐厅，卫生间要防滑、洗浴间要有防滑垫，要配备免费的洗漱用品</w:t>
            </w:r>
            <w:r>
              <w:rPr>
                <w:rFonts w:ascii="仿宋_GB2312" w:hAnsi="仿宋_GB2312" w:cs="仿宋_GB2312" w:eastAsia="仿宋_GB2312"/>
                <w:sz w:val="24"/>
                <w:color w:val="000000"/>
                <w:shd w:fill="FFFFFF" w:val="clear"/>
              </w:rPr>
              <w:t>;酒店容量要足够，可同时容纳活动人员同时入住和早餐使用的酒店;乙方需提供相同规格的酒店，配备不低于2名导游协助解决相关食宿问题，甲方需提供不低于</w:t>
            </w:r>
            <w:r>
              <w:rPr>
                <w:rFonts w:ascii="仿宋_GB2312" w:hAnsi="仿宋_GB2312" w:cs="仿宋_GB2312" w:eastAsia="仿宋_GB2312"/>
                <w:sz w:val="24"/>
                <w:color w:val="000000"/>
                <w:shd w:fill="FFFFFF" w:val="clear"/>
              </w:rPr>
              <w:t>2</w:t>
            </w:r>
            <w:r>
              <w:rPr>
                <w:rFonts w:ascii="仿宋_GB2312" w:hAnsi="仿宋_GB2312" w:cs="仿宋_GB2312" w:eastAsia="仿宋_GB2312"/>
                <w:sz w:val="24"/>
                <w:color w:val="000000"/>
                <w:shd w:fill="FFFFFF" w:val="clear"/>
              </w:rPr>
              <w:t>名单位工作人员。具体情况可由甲乙双方共同协调解决。</w:t>
            </w:r>
          </w:p>
          <w:p>
            <w:pPr>
              <w:pStyle w:val="null3"/>
              <w:ind w:firstLine="420"/>
              <w:jc w:val="both"/>
            </w:pPr>
            <w:r>
              <w:rPr>
                <w:rFonts w:ascii="仿宋_GB2312" w:hAnsi="仿宋_GB2312" w:cs="仿宋_GB2312" w:eastAsia="仿宋_GB2312"/>
                <w:sz w:val="24"/>
                <w:shd w:fill="FFFFFF" w:val="clear"/>
              </w:rPr>
              <w:t>5、</w:t>
            </w:r>
            <w:r>
              <w:rPr>
                <w:rFonts w:ascii="仿宋_GB2312" w:hAnsi="仿宋_GB2312" w:cs="仿宋_GB2312" w:eastAsia="仿宋_GB2312"/>
                <w:sz w:val="24"/>
                <w:shd w:fill="FFFFFF" w:val="clear"/>
              </w:rPr>
              <w:t>餐食：早餐全程包含，出行配备无限量矿泉水、零食，正餐</w:t>
            </w:r>
            <w:r>
              <w:rPr>
                <w:rFonts w:ascii="仿宋_GB2312" w:hAnsi="仿宋_GB2312" w:cs="仿宋_GB2312" w:eastAsia="仿宋_GB2312"/>
                <w:sz w:val="24"/>
                <w:shd w:fill="FFFFFF" w:val="clear"/>
              </w:rPr>
              <w:t>6</w:t>
            </w:r>
            <w:r>
              <w:rPr>
                <w:rFonts w:ascii="仿宋_GB2312" w:hAnsi="仿宋_GB2312" w:cs="仿宋_GB2312" w:eastAsia="仿宋_GB2312"/>
                <w:sz w:val="24"/>
                <w:shd w:fill="FFFFFF" w:val="clear"/>
              </w:rPr>
              <w:t>0 元/人/正，餐厅环境要好，要求至少1</w:t>
            </w:r>
            <w:r>
              <w:rPr>
                <w:rFonts w:ascii="仿宋_GB2312" w:hAnsi="仿宋_GB2312" w:cs="仿宋_GB2312" w:eastAsia="仿宋_GB2312"/>
                <w:sz w:val="24"/>
                <w:shd w:fill="FFFFFF" w:val="clear"/>
              </w:rPr>
              <w:t>2</w:t>
            </w:r>
            <w:r>
              <w:rPr>
                <w:rFonts w:ascii="仿宋_GB2312" w:hAnsi="仿宋_GB2312" w:cs="仿宋_GB2312" w:eastAsia="仿宋_GB2312"/>
                <w:sz w:val="24"/>
                <w:shd w:fill="FFFFFF" w:val="clear"/>
              </w:rPr>
              <w:t>菜一汤，荤素对半，主食</w:t>
            </w:r>
            <w:r>
              <w:rPr>
                <w:rFonts w:ascii="仿宋_GB2312" w:hAnsi="仿宋_GB2312" w:cs="仿宋_GB2312" w:eastAsia="仿宋_GB2312"/>
                <w:sz w:val="24"/>
                <w:shd w:fill="FFFFFF" w:val="clear"/>
              </w:rPr>
              <w:t>(米饭、馒头、面)管饱，茶水餐巾纸、餐后果盘必备</w:t>
            </w:r>
            <w:r>
              <w:rPr>
                <w:rFonts w:ascii="仿宋_GB2312" w:hAnsi="仿宋_GB2312" w:cs="仿宋_GB2312" w:eastAsia="仿宋_GB2312"/>
                <w:sz w:val="24"/>
                <w:shd w:fill="FFFFFF" w:val="clear"/>
              </w:rPr>
              <w:t>。</w:t>
            </w:r>
          </w:p>
          <w:p>
            <w:pPr>
              <w:pStyle w:val="null3"/>
              <w:ind w:firstLine="420"/>
              <w:jc w:val="both"/>
            </w:pPr>
            <w:r>
              <w:rPr>
                <w:rFonts w:ascii="仿宋_GB2312" w:hAnsi="仿宋_GB2312" w:cs="仿宋_GB2312" w:eastAsia="仿宋_GB2312"/>
                <w:sz w:val="24"/>
                <w:color w:val="000000"/>
                <w:shd w:fill="FFFFFF" w:val="clear"/>
              </w:rPr>
              <w:t>6、导游服务：要求优秀持证导游服务，服务态度好，讲解到位，上下车有扶，安排工作人员在老干部入住后要每一个房间盘查设施是否完整;晚上22：00甲乙双方各派不低于2名工作人员进行查房，如遇活动时间顺延，当晚必须完成查房工作，确保出行人员晚上全部在位。</w:t>
            </w:r>
          </w:p>
          <w:p>
            <w:pPr>
              <w:pStyle w:val="null3"/>
              <w:ind w:firstLine="420"/>
              <w:jc w:val="both"/>
            </w:pPr>
            <w:r>
              <w:rPr>
                <w:rFonts w:ascii="仿宋_GB2312" w:hAnsi="仿宋_GB2312" w:cs="仿宋_GB2312" w:eastAsia="仿宋_GB2312"/>
                <w:sz w:val="24"/>
                <w:color w:val="000000"/>
                <w:shd w:fill="FFFFFF" w:val="clear"/>
              </w:rPr>
              <w:t>7、安全服务:甲方配备专业的随队医生，随时关注老干部的身体状况和及时作出准确的预判断;随队医生要携带外伤用品和基本的药品;每次出行乙方必须为甲方出行人员购买大额意外保险，</w:t>
            </w:r>
            <w:r>
              <w:rPr>
                <w:rFonts w:ascii="仿宋_GB2312" w:hAnsi="仿宋_GB2312" w:cs="仿宋_GB2312" w:eastAsia="仿宋_GB2312"/>
                <w:sz w:val="24"/>
                <w:color w:val="000000"/>
                <w:shd w:fill="FFFFFF" w:val="clear"/>
              </w:rPr>
              <w:t>费用由乙方负责</w:t>
            </w:r>
            <w:r>
              <w:rPr>
                <w:rFonts w:ascii="仿宋_GB2312" w:hAnsi="仿宋_GB2312" w:cs="仿宋_GB2312" w:eastAsia="仿宋_GB2312"/>
                <w:sz w:val="24"/>
                <w:color w:val="000000"/>
                <w:shd w:fill="FFFFFF" w:val="clear"/>
              </w:rPr>
              <w:t>。</w:t>
            </w:r>
          </w:p>
          <w:p>
            <w:pPr>
              <w:pStyle w:val="null3"/>
              <w:ind w:firstLine="420"/>
              <w:jc w:val="both"/>
            </w:pPr>
            <w:r>
              <w:rPr>
                <w:rFonts w:ascii="仿宋_GB2312" w:hAnsi="仿宋_GB2312" w:cs="仿宋_GB2312" w:eastAsia="仿宋_GB2312"/>
                <w:sz w:val="24"/>
                <w:color w:val="000000"/>
                <w:shd w:fill="FFFFFF" w:val="clear"/>
              </w:rPr>
              <w:t>8、每批团队出行，需要配备资深领队随行，具有较强的组织协调能力和现场处理突发事件的能力。</w:t>
            </w:r>
          </w:p>
          <w:p>
            <w:pPr>
              <w:pStyle w:val="null3"/>
              <w:ind w:firstLine="420"/>
              <w:jc w:val="both"/>
            </w:pPr>
            <w:r>
              <w:rPr>
                <w:rFonts w:ascii="仿宋_GB2312" w:hAnsi="仿宋_GB2312" w:cs="仿宋_GB2312" w:eastAsia="仿宋_GB2312"/>
                <w:sz w:val="24"/>
                <w:color w:val="000000"/>
                <w:shd w:fill="FFFFFF" w:val="clear"/>
              </w:rPr>
              <w:t>9、人性化服务:团队出行必须做到导游及车辆上门车接车送，上下车有扶，让每一位老干部出行无忧;</w:t>
            </w:r>
          </w:p>
          <w:p>
            <w:pPr>
              <w:pStyle w:val="null3"/>
              <w:ind w:firstLine="420"/>
              <w:jc w:val="both"/>
            </w:pPr>
            <w:r>
              <w:rPr>
                <w:rFonts w:ascii="仿宋_GB2312" w:hAnsi="仿宋_GB2312" w:cs="仿宋_GB2312" w:eastAsia="仿宋_GB2312"/>
                <w:sz w:val="24"/>
                <w:color w:val="000000"/>
                <w:shd w:fill="FFFFFF" w:val="clear"/>
              </w:rPr>
              <w:t>10、车辆行驶中要就近安排休息和上卫生间，遇到特殊游客要耐心、温馨服务。称呼上要有尊称。</w:t>
            </w:r>
          </w:p>
          <w:p>
            <w:pPr>
              <w:pStyle w:val="null3"/>
              <w:ind w:firstLine="420"/>
              <w:jc w:val="both"/>
            </w:pPr>
            <w:r>
              <w:rPr>
                <w:rFonts w:ascii="仿宋_GB2312" w:hAnsi="仿宋_GB2312" w:cs="仿宋_GB2312" w:eastAsia="仿宋_GB2312"/>
                <w:sz w:val="24"/>
                <w:color w:val="000000"/>
                <w:shd w:fill="FFFFFF" w:val="clear"/>
              </w:rPr>
              <w:t>1</w:t>
            </w:r>
            <w:r>
              <w:rPr>
                <w:rFonts w:ascii="仿宋_GB2312" w:hAnsi="仿宋_GB2312" w:cs="仿宋_GB2312" w:eastAsia="仿宋_GB2312"/>
                <w:sz w:val="24"/>
                <w:color w:val="000000"/>
                <w:shd w:fill="FFFFFF" w:val="clear"/>
              </w:rPr>
              <w:t>1</w:t>
            </w:r>
            <w:r>
              <w:rPr>
                <w:rFonts w:ascii="仿宋_GB2312" w:hAnsi="仿宋_GB2312" w:cs="仿宋_GB2312" w:eastAsia="仿宋_GB2312"/>
                <w:sz w:val="24"/>
                <w:color w:val="000000"/>
                <w:shd w:fill="FFFFFF" w:val="clear"/>
              </w:rPr>
              <w:t>、</w:t>
            </w:r>
            <w:r>
              <w:rPr>
                <w:rFonts w:ascii="仿宋_GB2312" w:hAnsi="仿宋_GB2312" w:cs="仿宋_GB2312" w:eastAsia="仿宋_GB2312"/>
                <w:sz w:val="24"/>
                <w:color w:val="000000"/>
                <w:shd w:fill="FFFFFF" w:val="clear"/>
              </w:rPr>
              <w:t>48 小时以上临时取消不得收取车、导、保险损失，48 小时以内取消，按照实际发生收取相应的车、导、保险损失。动车票的取消损失(票面损失和手续费)按照国家规定执行。</w:t>
            </w:r>
          </w:p>
          <w:p>
            <w:pPr>
              <w:pStyle w:val="null3"/>
              <w:ind w:firstLine="420"/>
              <w:jc w:val="both"/>
            </w:pPr>
            <w:r>
              <w:rPr>
                <w:rFonts w:ascii="仿宋_GB2312" w:hAnsi="仿宋_GB2312" w:cs="仿宋_GB2312" w:eastAsia="仿宋_GB2312"/>
                <w:sz w:val="24"/>
                <w:color w:val="000000"/>
                <w:shd w:fill="FFFFFF" w:val="clear"/>
              </w:rPr>
              <w:t>1</w:t>
            </w:r>
            <w:r>
              <w:rPr>
                <w:rFonts w:ascii="仿宋_GB2312" w:hAnsi="仿宋_GB2312" w:cs="仿宋_GB2312" w:eastAsia="仿宋_GB2312"/>
                <w:sz w:val="24"/>
                <w:color w:val="000000"/>
                <w:shd w:fill="FFFFFF" w:val="clear"/>
              </w:rPr>
              <w:t>2</w:t>
            </w:r>
            <w:r>
              <w:rPr>
                <w:rFonts w:ascii="仿宋_GB2312" w:hAnsi="仿宋_GB2312" w:cs="仿宋_GB2312" w:eastAsia="仿宋_GB2312"/>
                <w:sz w:val="24"/>
                <w:color w:val="000000"/>
                <w:shd w:fill="FFFFFF" w:val="clear"/>
              </w:rPr>
              <w:t>、意见征集</w:t>
            </w:r>
            <w:r>
              <w:rPr>
                <w:rFonts w:ascii="仿宋_GB2312" w:hAnsi="仿宋_GB2312" w:cs="仿宋_GB2312" w:eastAsia="仿宋_GB2312"/>
                <w:sz w:val="24"/>
                <w:color w:val="000000"/>
                <w:shd w:fill="FFFFFF" w:val="clear"/>
              </w:rPr>
              <w:t>:团队意见单每团至少两份，团队结束后一周内要有对支部负责人的满意度调查回访。</w:t>
            </w:r>
          </w:p>
          <w:p>
            <w:pPr>
              <w:pStyle w:val="null3"/>
              <w:ind w:firstLine="420"/>
              <w:jc w:val="both"/>
            </w:pPr>
            <w:r>
              <w:rPr>
                <w:rFonts w:ascii="仿宋_GB2312" w:hAnsi="仿宋_GB2312" w:cs="仿宋_GB2312" w:eastAsia="仿宋_GB2312"/>
                <w:sz w:val="24"/>
                <w:color w:val="000000"/>
                <w:shd w:fill="FFFFFF" w:val="clear"/>
              </w:rPr>
              <w:t>1</w:t>
            </w:r>
            <w:r>
              <w:rPr>
                <w:rFonts w:ascii="仿宋_GB2312" w:hAnsi="仿宋_GB2312" w:cs="仿宋_GB2312" w:eastAsia="仿宋_GB2312"/>
                <w:sz w:val="24"/>
                <w:color w:val="000000"/>
                <w:shd w:fill="FFFFFF" w:val="clear"/>
              </w:rPr>
              <w:t>3</w:t>
            </w:r>
            <w:r>
              <w:rPr>
                <w:rFonts w:ascii="仿宋_GB2312" w:hAnsi="仿宋_GB2312" w:cs="仿宋_GB2312" w:eastAsia="仿宋_GB2312"/>
                <w:sz w:val="24"/>
                <w:color w:val="000000"/>
                <w:shd w:fill="FFFFFF" w:val="clear"/>
              </w:rPr>
              <w:t>、能够按照每个支部的要求，在规定时间内不限次数完成出行任务。</w:t>
            </w:r>
          </w:p>
          <w:p>
            <w:pPr>
              <w:pStyle w:val="null3"/>
              <w:ind w:firstLine="420"/>
              <w:jc w:val="both"/>
            </w:pPr>
            <w:r>
              <w:rPr>
                <w:rFonts w:ascii="仿宋_GB2312" w:hAnsi="仿宋_GB2312" w:cs="仿宋_GB2312" w:eastAsia="仿宋_GB2312"/>
                <w:sz w:val="24"/>
                <w:color w:val="000000"/>
                <w:shd w:fill="FFFFFF" w:val="clear"/>
              </w:rPr>
              <w:t>1</w:t>
            </w:r>
            <w:r>
              <w:rPr>
                <w:rFonts w:ascii="仿宋_GB2312" w:hAnsi="仿宋_GB2312" w:cs="仿宋_GB2312" w:eastAsia="仿宋_GB2312"/>
                <w:sz w:val="24"/>
                <w:color w:val="000000"/>
                <w:shd w:fill="FFFFFF" w:val="clear"/>
              </w:rPr>
              <w:t>4</w:t>
            </w:r>
            <w:r>
              <w:rPr>
                <w:rFonts w:ascii="仿宋_GB2312" w:hAnsi="仿宋_GB2312" w:cs="仿宋_GB2312" w:eastAsia="仿宋_GB2312"/>
                <w:sz w:val="24"/>
                <w:color w:val="000000"/>
                <w:shd w:fill="FFFFFF" w:val="clear"/>
              </w:rPr>
              <w:t>、接待报价要求一价全含，不购物、不自费，不允许有隐形消费。</w:t>
            </w:r>
          </w:p>
          <w:p>
            <w:pPr>
              <w:pStyle w:val="null3"/>
              <w:ind w:firstLine="420"/>
              <w:jc w:val="both"/>
            </w:pPr>
            <w:r>
              <w:rPr>
                <w:rFonts w:ascii="仿宋_GB2312" w:hAnsi="仿宋_GB2312" w:cs="仿宋_GB2312" w:eastAsia="仿宋_GB2312"/>
                <w:sz w:val="24"/>
                <w:color w:val="000000"/>
                <w:shd w:fill="FFFFFF" w:val="clear"/>
              </w:rPr>
              <w:t>1</w:t>
            </w:r>
            <w:r>
              <w:rPr>
                <w:rFonts w:ascii="仿宋_GB2312" w:hAnsi="仿宋_GB2312" w:cs="仿宋_GB2312" w:eastAsia="仿宋_GB2312"/>
                <w:sz w:val="24"/>
                <w:color w:val="000000"/>
                <w:shd w:fill="FFFFFF" w:val="clear"/>
              </w:rPr>
              <w:t>5</w:t>
            </w:r>
            <w:r>
              <w:rPr>
                <w:rFonts w:ascii="仿宋_GB2312" w:hAnsi="仿宋_GB2312" w:cs="仿宋_GB2312" w:eastAsia="仿宋_GB2312"/>
                <w:sz w:val="24"/>
                <w:color w:val="000000"/>
                <w:shd w:fill="FFFFFF" w:val="clear"/>
              </w:rPr>
              <w:t>、如遇线路选择不在以上报价内，由甲乙双方根据市场变化共同商定，签订补充协议、合同等手续。</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供应商根据服务要求自主填写</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供应商根据服务要求自主填写</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合同签订之日起至截止日期2025年12月31日止（如遇特殊情况，截止日期相应顺延。）</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1.本项目由采购人进行阶段性验收。 2.验收标准：按竞争性磋商文件、投标文件、项目检查情况等综合指标进行验收。各项指标均应符合验收标准及要求。 3.验收合格后，填写验收单，双方签字生效。 4.验收依据： a)合同文本； b)招标文件及投标文件； c)国家和行业制定的相应的标准和规范； d)验收清单。</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付款说明：按照批次据实结算，实际结算金额=活动人数×中标成交单价（按具体线路），成交单价在服务期限内不可改变。</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合同执行中发生争议的，当事人双方应协商解决。协商达不成一致时，双方任何一方可向当地行政仲裁机关申请仲裁或者向人民法院提请诉讼。</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1.项目名称：2025年度军休干部研学活动 2.服务期限：合同签订之日起至截止日期2025年12月31日止（如遇特殊情况，截止日期相应顺延。） 3.服务地点：采购人指定地点 4.付款方式： （付款说明：按照批次据实结算，实际结算金额=活动人数×中标成交单价（按具体线路），成交单价在服务期限内不可改变。 5.验 收： （1）本项目由采购人及相关部门按法定规划要求定期对项目进行阶段性验收。 （2.）验收标准：编制内容和深度应符合相关规范和标准的要求。 （3）.验收合格后，填写验收单，双方签字生效。 （4）.验收依据： 合同文本；磋商文件及澄清函、投标文件；国家和行业制定的相应标准和规范；验收清单。</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 xml:space="preserve"> 供应商应提供健全的财务会计制度的证明材料；</w:t>
            </w:r>
          </w:p>
        </w:tc>
        <w:tc>
          <w:tcPr>
            <w:tcW w:type="dxa" w:w="3322"/>
          </w:tcPr>
          <w:p>
            <w:pPr>
              <w:pStyle w:val="null3"/>
            </w:pPr>
            <w:r>
              <w:rPr>
                <w:rFonts w:ascii="仿宋_GB2312" w:hAnsi="仿宋_GB2312" w:cs="仿宋_GB2312" w:eastAsia="仿宋_GB2312"/>
              </w:rPr>
              <w:t>供应商提供2023或2024年的财务审计报告（至少包括资产负债表和利润表，成立时间至提交响应文件截止时间不足一年的可提供成立后任意时段的资产负债表），或其开标前六个月内银行开具的资信证明；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财务审计报告.docx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单位负责人为同一人或者存在直接控股、管理关系的承诺书.docx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 ，自然人参与的提供其身份证明；</w:t>
            </w:r>
          </w:p>
        </w:tc>
        <w:tc>
          <w:tcPr>
            <w:tcW w:type="dxa" w:w="1661"/>
          </w:tcPr>
          <w:p>
            <w:pPr>
              <w:pStyle w:val="null3"/>
            </w:pPr>
            <w:r>
              <w:rPr>
                <w:rFonts w:ascii="仿宋_GB2312" w:hAnsi="仿宋_GB2312" w:cs="仿宋_GB2312" w:eastAsia="仿宋_GB2312"/>
              </w:rPr>
              <w:t>营业执照.docx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法人授权书及被授权人有效身份证明</w:t>
            </w:r>
          </w:p>
        </w:tc>
        <w:tc>
          <w:tcPr>
            <w:tcW w:type="dxa" w:w="3322"/>
          </w:tcPr>
          <w:p>
            <w:pPr>
              <w:pStyle w:val="null3"/>
            </w:pPr>
            <w:r>
              <w:rPr>
                <w:rFonts w:ascii="仿宋_GB2312" w:hAnsi="仿宋_GB2312" w:cs="仿宋_GB2312" w:eastAsia="仿宋_GB2312"/>
              </w:rPr>
              <w:t>供应商应授权合法的人员参加磋商全过程，法定代表人直接参加磋商须提交其身份证原件及法定代表人证明书，法定代表人授权代表参加磋商须出具授权书及被授权人身份证；</w:t>
            </w:r>
          </w:p>
        </w:tc>
        <w:tc>
          <w:tcPr>
            <w:tcW w:type="dxa" w:w="1661"/>
          </w:tcPr>
          <w:p>
            <w:pPr>
              <w:pStyle w:val="null3"/>
            </w:pPr>
            <w:r>
              <w:rPr>
                <w:rFonts w:ascii="仿宋_GB2312" w:hAnsi="仿宋_GB2312" w:cs="仿宋_GB2312" w:eastAsia="仿宋_GB2312"/>
              </w:rPr>
              <w:t>法定代表人身份证明、法定代表人授权书.docx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供应商3年内无重大违法记录的书面声明</w:t>
            </w:r>
          </w:p>
        </w:tc>
        <w:tc>
          <w:tcPr>
            <w:tcW w:type="dxa" w:w="3322"/>
          </w:tcPr>
          <w:p>
            <w:pPr>
              <w:pStyle w:val="null3"/>
            </w:pPr>
            <w:r>
              <w:rPr>
                <w:rFonts w:ascii="仿宋_GB2312" w:hAnsi="仿宋_GB2312" w:cs="仿宋_GB2312" w:eastAsia="仿宋_GB2312"/>
              </w:rPr>
              <w:t>供应商应具备良好的商业信誉，提供参加政府采购活动前3年内在经营活动中没有重大违法记录的书面声明；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供应商3年内无重大违法记录的书面声明.docx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财务审计报告</w:t>
            </w:r>
          </w:p>
        </w:tc>
        <w:tc>
          <w:tcPr>
            <w:tcW w:type="dxa" w:w="3322"/>
          </w:tcPr>
          <w:p>
            <w:pPr>
              <w:pStyle w:val="null3"/>
            </w:pPr>
            <w:r>
              <w:rPr>
                <w:rFonts w:ascii="仿宋_GB2312" w:hAnsi="仿宋_GB2312" w:cs="仿宋_GB2312" w:eastAsia="仿宋_GB2312"/>
              </w:rPr>
              <w:t>供应商提供2023或2024年的财务审计报告（至少包括资产负债表和利润表，成立时间至提交响应文件截止时间不足一年的可提供成立后任意时段的资产负债表），或其开标前六个月内银行开具的资信证明；</w:t>
            </w:r>
          </w:p>
        </w:tc>
        <w:tc>
          <w:tcPr>
            <w:tcW w:type="dxa" w:w="1661"/>
          </w:tcPr>
          <w:p>
            <w:pPr>
              <w:pStyle w:val="null3"/>
            </w:pPr>
            <w:r>
              <w:rPr>
                <w:rFonts w:ascii="仿宋_GB2312" w:hAnsi="仿宋_GB2312" w:cs="仿宋_GB2312" w:eastAsia="仿宋_GB2312"/>
              </w:rPr>
              <w:t>财务审计报告.docx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履行合同承诺书</w:t>
            </w:r>
          </w:p>
        </w:tc>
        <w:tc>
          <w:tcPr>
            <w:tcW w:type="dxa" w:w="3322"/>
          </w:tcPr>
          <w:p>
            <w:pPr>
              <w:pStyle w:val="null3"/>
            </w:pPr>
            <w:r>
              <w:rPr>
                <w:rFonts w:ascii="仿宋_GB2312" w:hAnsi="仿宋_GB2312" w:cs="仿宋_GB2312" w:eastAsia="仿宋_GB2312"/>
              </w:rPr>
              <w:t>具有履行合同所必需的设备和专业技术能力承诺书；</w:t>
            </w:r>
          </w:p>
        </w:tc>
        <w:tc>
          <w:tcPr>
            <w:tcW w:type="dxa" w:w="1661"/>
          </w:tcPr>
          <w:p>
            <w:pPr>
              <w:pStyle w:val="null3"/>
            </w:pPr>
            <w:r>
              <w:rPr>
                <w:rFonts w:ascii="仿宋_GB2312" w:hAnsi="仿宋_GB2312" w:cs="仿宋_GB2312" w:eastAsia="仿宋_GB2312"/>
              </w:rPr>
              <w:t>履行合同承诺书.docx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供应商提供已缴存的2024年1月至今任意一个月的社会保障资金缴存单据或社保机构开具的社会保险参保缴费情况证明，单据或证明上应有社保机构或代收机构的公章。依法不需要缴纳社会保障资金的供应商应提供相关文件证明；</w:t>
            </w:r>
          </w:p>
        </w:tc>
        <w:tc>
          <w:tcPr>
            <w:tcW w:type="dxa" w:w="1661"/>
          </w:tcPr>
          <w:p>
            <w:pPr>
              <w:pStyle w:val="null3"/>
            </w:pPr>
            <w:r>
              <w:rPr>
                <w:rFonts w:ascii="仿宋_GB2312" w:hAnsi="仿宋_GB2312" w:cs="仿宋_GB2312" w:eastAsia="仿宋_GB2312"/>
              </w:rPr>
              <w:t>社会保障资金缴存单据或社保机构开具的社会保险参保缴费情况证明.docx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纳税证明或完税证明</w:t>
            </w:r>
          </w:p>
        </w:tc>
        <w:tc>
          <w:tcPr>
            <w:tcW w:type="dxa" w:w="3322"/>
          </w:tcPr>
          <w:p>
            <w:pPr>
              <w:pStyle w:val="null3"/>
            </w:pPr>
            <w:r>
              <w:rPr>
                <w:rFonts w:ascii="仿宋_GB2312" w:hAnsi="仿宋_GB2312" w:cs="仿宋_GB2312" w:eastAsia="仿宋_GB2312"/>
              </w:rPr>
              <w:t>供应商提供已缴纳的2024年1月至今任意一个月的纳税证明或完税证明，纳税证明或完税证明上应有代收机构或税务机关的公章。依法免税的供应商应提供相关文件证明；</w:t>
            </w:r>
          </w:p>
        </w:tc>
        <w:tc>
          <w:tcPr>
            <w:tcW w:type="dxa" w:w="1661"/>
          </w:tcPr>
          <w:p>
            <w:pPr>
              <w:pStyle w:val="null3"/>
            </w:pPr>
            <w:r>
              <w:rPr>
                <w:rFonts w:ascii="仿宋_GB2312" w:hAnsi="仿宋_GB2312" w:cs="仿宋_GB2312" w:eastAsia="仿宋_GB2312"/>
              </w:rPr>
              <w:t>纳税证明或完税证明.docx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供应商经营许可证</w:t>
            </w:r>
          </w:p>
        </w:tc>
        <w:tc>
          <w:tcPr>
            <w:tcW w:type="dxa" w:w="3322"/>
          </w:tcPr>
          <w:p>
            <w:pPr>
              <w:pStyle w:val="null3"/>
            </w:pPr>
            <w:r>
              <w:rPr>
                <w:rFonts w:ascii="仿宋_GB2312" w:hAnsi="仿宋_GB2312" w:cs="仿宋_GB2312" w:eastAsia="仿宋_GB2312"/>
              </w:rPr>
              <w:t>供应商须具备相关主管部门颁发的《旅行社业务经营许可证》；</w:t>
            </w:r>
          </w:p>
        </w:tc>
        <w:tc>
          <w:tcPr>
            <w:tcW w:type="dxa" w:w="1661"/>
          </w:tcPr>
          <w:p>
            <w:pPr>
              <w:pStyle w:val="null3"/>
            </w:pPr>
            <w:r>
              <w:rPr>
                <w:rFonts w:ascii="仿宋_GB2312" w:hAnsi="仿宋_GB2312" w:cs="仿宋_GB2312" w:eastAsia="仿宋_GB2312"/>
              </w:rPr>
              <w:t>《旅行社业务经营许可证》.docx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供应商信用截图</w:t>
            </w:r>
          </w:p>
        </w:tc>
        <w:tc>
          <w:tcPr>
            <w:tcW w:type="dxa" w:w="3322"/>
          </w:tcPr>
          <w:p>
            <w:pPr>
              <w:pStyle w:val="null3"/>
            </w:pPr>
            <w:r>
              <w:rPr>
                <w:rFonts w:ascii="仿宋_GB2312" w:hAnsi="仿宋_GB2312" w:cs="仿宋_GB2312" w:eastAsia="仿宋_GB2312"/>
              </w:rPr>
              <w:t>供应商提供不得为“信用中国”网站(http://www.creditchina.gov.cn)列入“失信被执行人（页面跳转至“中国执行信息公开网”htt p://zxgk.court.gov.cn/shixin/）、重大税收违法失信主体、政府采购严重违法失信行为记录名单”的投标人；不得为中国政府采购网(htt p://www.ccgp.gov.cn)“政府采购严重违法失信行为记录名单”的投标人 ；</w:t>
            </w:r>
          </w:p>
        </w:tc>
        <w:tc>
          <w:tcPr>
            <w:tcW w:type="dxa" w:w="1661"/>
          </w:tcPr>
          <w:p>
            <w:pPr>
              <w:pStyle w:val="null3"/>
            </w:pPr>
            <w:r>
              <w:rPr>
                <w:rFonts w:ascii="仿宋_GB2312" w:hAnsi="仿宋_GB2312" w:cs="仿宋_GB2312" w:eastAsia="仿宋_GB2312"/>
              </w:rPr>
              <w:t>信用截图.docx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供应商为同一人或者存在直接控股、管理关系承诺书</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单位负责人为同一人或者存在直接控股、管理关系的承诺书.docx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中小企业承诺书</w:t>
            </w:r>
          </w:p>
        </w:tc>
        <w:tc>
          <w:tcPr>
            <w:tcW w:type="dxa" w:w="3322"/>
          </w:tcPr>
          <w:p>
            <w:pPr>
              <w:pStyle w:val="null3"/>
            </w:pPr>
            <w:r>
              <w:rPr>
                <w:rFonts w:ascii="仿宋_GB2312" w:hAnsi="仿宋_GB2312" w:cs="仿宋_GB2312" w:eastAsia="仿宋_GB2312"/>
              </w:rPr>
              <w:t>本项目专门面向中小企业采购。</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响应文件封面 标的清单 报价表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供应商提供项目的实施方案，内容包含于 ①项目总体认识 ②服务流程 ③每条线路的策划理念 ④服务理念等进行综合评审。 (1) 实施方案科学严谨、内容全面详细、符合技术 标准要求，计10分； (2) 实施方案科学合理、内容全面但描述不够详细、符合技术标准要求，计8分； (3)实施方案合理，内容全面性不够（缺①至③中任意一项）但描述详细、符合技术标准要求，计6分； (4)实施方案合理，内容全面性不够（缺①至③中任意一项），有具体描述，符合技术标准要求，计4分； (5)实施方案合理，内容全面性不够（缺①至③中任意二项及以上）描述详细，计2分； (6)实施方案合理，内容全面性不够（缺①至③中任意二项及以上）有具体描述，计1分； (7)实施方案只有标题但内容简略或不具备可操作性或不提供，此项不得分。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投标方案说明书.docx</w:t>
            </w:r>
          </w:p>
        </w:tc>
      </w:tr>
      <w:tr>
        <w:tc>
          <w:tcPr>
            <w:tcW w:type="dxa" w:w="831"/>
            <w:vMerge/>
          </w:tcPr>
          <w:p/>
        </w:tc>
        <w:tc>
          <w:tcPr>
            <w:tcW w:type="dxa" w:w="1661"/>
          </w:tcPr>
          <w:p>
            <w:pPr>
              <w:pStyle w:val="null3"/>
            </w:pPr>
            <w:r>
              <w:rPr>
                <w:rFonts w:ascii="仿宋_GB2312" w:hAnsi="仿宋_GB2312" w:cs="仿宋_GB2312" w:eastAsia="仿宋_GB2312"/>
              </w:rPr>
              <w:t>项目实施进度计划</w:t>
            </w:r>
          </w:p>
        </w:tc>
        <w:tc>
          <w:tcPr>
            <w:tcW w:type="dxa" w:w="2492"/>
          </w:tcPr>
          <w:p>
            <w:pPr>
              <w:pStyle w:val="null3"/>
            </w:pPr>
            <w:r>
              <w:rPr>
                <w:rFonts w:ascii="仿宋_GB2312" w:hAnsi="仿宋_GB2312" w:cs="仿宋_GB2312" w:eastAsia="仿宋_GB2312"/>
              </w:rPr>
              <w:t>供应商提供针对本项目的进度计划，内容包含于 ①进度计划安排 ②进度计划保证措施等进行综合评审。前述要求的内容均有描述且符合本项目要求的得8分；每缺少一项要求的方案内容扣4分，扣完为止； 每有一项要求的方案内容有一处错误的(错误是指：对同一问题前后表述矛盾的，或逻辑错误的，或缺少 关键节点，或涉及的规范及标准错误，或表述内容不完整，或不利于项目实施、不可能实现的情形等任 意一种情形)，一处扣2分，扣完为止；每有一项要求的方案内容有一处描述不切合项目实际的，一处扣 1.5分，扣完为止。不提供方案的不得分。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投标方案说明书.docx</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重难点分析及解决思路</w:t>
            </w:r>
          </w:p>
        </w:tc>
        <w:tc>
          <w:tcPr>
            <w:tcW w:type="dxa" w:w="2492"/>
          </w:tcPr>
          <w:p>
            <w:pPr>
              <w:pStyle w:val="null3"/>
            </w:pPr>
            <w:r>
              <w:rPr>
                <w:rFonts w:ascii="仿宋_GB2312" w:hAnsi="仿宋_GB2312" w:cs="仿宋_GB2312" w:eastAsia="仿宋_GB2312"/>
              </w:rPr>
              <w:t>根据本项目需求，提出针对本项目实施过程中的重难点分析及解决思路，并给出解决方案。 1.重难点内容科学全面、针对性强，解决思路可行性强，计10分； 2.重难点内容全面、针对性强，解决思路可行性强，计7分； 3.重难点内容考虑不全面，解决思路可行，计4分； 4.重难点内容考虑不全面、解决思路不全或不可行，计1分； 5.方案只有标题但内容简略或不具备可操作性或不提供，此项不得分。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投标方案说明书.docx</w:t>
            </w:r>
          </w:p>
        </w:tc>
      </w:tr>
      <w:tr>
        <w:tc>
          <w:tcPr>
            <w:tcW w:type="dxa" w:w="831"/>
            <w:vMerge/>
          </w:tcPr>
          <w:p/>
        </w:tc>
        <w:tc>
          <w:tcPr>
            <w:tcW w:type="dxa" w:w="1661"/>
          </w:tcPr>
          <w:p>
            <w:pPr>
              <w:pStyle w:val="null3"/>
            </w:pPr>
            <w:r>
              <w:rPr>
                <w:rFonts w:ascii="仿宋_GB2312" w:hAnsi="仿宋_GB2312" w:cs="仿宋_GB2312" w:eastAsia="仿宋_GB2312"/>
              </w:rPr>
              <w:t>应急措施方案</w:t>
            </w:r>
          </w:p>
        </w:tc>
        <w:tc>
          <w:tcPr>
            <w:tcW w:type="dxa" w:w="2492"/>
          </w:tcPr>
          <w:p>
            <w:pPr>
              <w:pStyle w:val="null3"/>
            </w:pPr>
            <w:r>
              <w:rPr>
                <w:rFonts w:ascii="仿宋_GB2312" w:hAnsi="仿宋_GB2312" w:cs="仿宋_GB2312" w:eastAsia="仿宋_GB2312"/>
              </w:rPr>
              <w:t>应急措施及各类事故应急处理预案内容包括但不限于①突发事件处理预案 ②应急反应措施 ③老干部突发疾病及意外伤害处理 (1)应急措施及各类事故应急处理预案科学严谨、内容全面详细、符合技术标准要求，计10分； (2) 应急措施及各类事故应急处理预案科学合理、内容全面但描述不够详细、符合技术标准要求，计8分； (3) 应急措施及各类事故应急处理预案合理，内容 全面性不够（缺①至③中任意一项）但描述详细、符合技术标准要求，计6分； (4)应急措施及各类事故应急处理预案合理，内容全面性不够（缺①至③中任意一项），有具体描述，符合技术标准要求，计4分； (5)应急措施及各类事故应急处理预案合理，内容全面性不够（缺①至③中任意二项及以上）描述详细，计2分； (6)应急措施及各类事故应急处理预案合理，内容全面性不够（缺①至③中任意二项及以上）有具体描述，计1分； (7)应急措施及各类事故应急处理预案只有标题但内容简略或不具备可操作性或不提供，此项不得分。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投标方案说明书.docx</w:t>
            </w:r>
          </w:p>
        </w:tc>
      </w:tr>
      <w:tr>
        <w:tc>
          <w:tcPr>
            <w:tcW w:type="dxa" w:w="831"/>
            <w:vMerge/>
          </w:tcPr>
          <w:p/>
        </w:tc>
        <w:tc>
          <w:tcPr>
            <w:tcW w:type="dxa" w:w="1661"/>
          </w:tcPr>
          <w:p>
            <w:pPr>
              <w:pStyle w:val="null3"/>
            </w:pPr>
            <w:r>
              <w:rPr>
                <w:rFonts w:ascii="仿宋_GB2312" w:hAnsi="仿宋_GB2312" w:cs="仿宋_GB2312" w:eastAsia="仿宋_GB2312"/>
              </w:rPr>
              <w:t>旅游资源储备及服务协调能力</w:t>
            </w:r>
          </w:p>
        </w:tc>
        <w:tc>
          <w:tcPr>
            <w:tcW w:type="dxa" w:w="2492"/>
          </w:tcPr>
          <w:p>
            <w:pPr>
              <w:pStyle w:val="null3"/>
            </w:pPr>
            <w:r>
              <w:rPr>
                <w:rFonts w:ascii="仿宋_GB2312" w:hAnsi="仿宋_GB2312" w:cs="仿宋_GB2312" w:eastAsia="仿宋_GB2312"/>
              </w:rPr>
              <w:t>供应商制定针对本项目的旅游资源储备及服务协调能力，内容包括但不限于 ①服务协调方案 ②旅游资源储备证明材料 ③与采购人配合、实践对接单位的协调能力。 (1)旅游资源储备及服务协调能力科学严谨、内容全面详细、符合技术标准要求，计10分； (2)旅游资源储备及服务协调能力科学合理、内容全面但描述不够详细、符合技术标准要求，计8分； (3)旅游资源储备及服务协调能力合理，内容全面性不够（缺①至③中任意一项）但描述详细、符合技术标准要求，计6分； (4)旅游资源储备及服务协调能力合理，内容全面性不够（缺①至③中任意一项），有具体描述，符合技术标准要求，计4分； (5)旅游资源储备及服务协调能力合理，内容全面性不够（缺①至③中任意二项及以上）描述详细，计2分； (6)旅游资源储备及服务协调能力合理，内容全面性不够（缺①至③中任意二项及以上）有具体描述，计1分； (7)旅游资源储备及服务协调能力只有标题但内容简略或不具备可操作性或不提供，此项不得分。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投标方案说明书.docx</w:t>
            </w:r>
          </w:p>
        </w:tc>
      </w:tr>
      <w:tr>
        <w:tc>
          <w:tcPr>
            <w:tcW w:type="dxa" w:w="831"/>
            <w:vMerge/>
          </w:tcPr>
          <w:p/>
        </w:tc>
        <w:tc>
          <w:tcPr>
            <w:tcW w:type="dxa" w:w="1661"/>
          </w:tcPr>
          <w:p>
            <w:pPr>
              <w:pStyle w:val="null3"/>
            </w:pPr>
            <w:r>
              <w:rPr>
                <w:rFonts w:ascii="仿宋_GB2312" w:hAnsi="仿宋_GB2312" w:cs="仿宋_GB2312" w:eastAsia="仿宋_GB2312"/>
              </w:rPr>
              <w:t>项目团队人员配备</w:t>
            </w:r>
          </w:p>
        </w:tc>
        <w:tc>
          <w:tcPr>
            <w:tcW w:type="dxa" w:w="2492"/>
          </w:tcPr>
          <w:p>
            <w:pPr>
              <w:pStyle w:val="null3"/>
            </w:pPr>
            <w:r>
              <w:rPr>
                <w:rFonts w:ascii="仿宋_GB2312" w:hAnsi="仿宋_GB2312" w:cs="仿宋_GB2312" w:eastAsia="仿宋_GB2312"/>
              </w:rPr>
              <w:t>有完善的人员配备及管理方案 ①团队组织人员配置明细 ②团队人员管理制度 ③各专业岗位配置④配置人员资格、职称等。 1.每完全满足上述要求的，具有完整性、可实施性、针对性条件的，满足1个评标准得2 分，每缺少1项，扣1分，扣完为止。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投标方案说明书.docx</w:t>
            </w:r>
          </w:p>
          <w:p>
            <w:pPr>
              <w:pStyle w:val="null3"/>
            </w:pPr>
            <w:r>
              <w:rPr>
                <w:rFonts w:ascii="仿宋_GB2312" w:hAnsi="仿宋_GB2312" w:cs="仿宋_GB2312" w:eastAsia="仿宋_GB2312"/>
              </w:rPr>
              <w:t>人员配备.docx</w:t>
            </w:r>
          </w:p>
          <w:p>
            <w:pPr>
              <w:pStyle w:val="null3"/>
            </w:pPr>
            <w:r>
              <w:rPr>
                <w:rFonts w:ascii="仿宋_GB2312" w:hAnsi="仿宋_GB2312" w:cs="仿宋_GB2312" w:eastAsia="仿宋_GB2312"/>
              </w:rPr>
              <w:t>项目负责人简历表.docx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针对本项目提供服务承诺，内容包括但不限于 ①质量 ②进度保障措施 ③安全管理措施 ④与采购人配合程度。 1.承诺内容全面，描述详细，可行性强，计5分； 2.承诺内容全面，描述不够详细，计3分； 3.承诺内容有所欠缺（缺①②项中任意一项），描述粗略，计1分； 不提供不得分。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投标方案说明书.docx</w:t>
            </w:r>
          </w:p>
        </w:tc>
      </w:tr>
      <w:tr>
        <w:tc>
          <w:tcPr>
            <w:tcW w:type="dxa" w:w="831"/>
            <w:vMerge/>
          </w:tcPr>
          <w:p/>
        </w:tc>
        <w:tc>
          <w:tcPr>
            <w:tcW w:type="dxa" w:w="1661"/>
          </w:tcPr>
          <w:p>
            <w:pPr>
              <w:pStyle w:val="null3"/>
            </w:pPr>
            <w:r>
              <w:rPr>
                <w:rFonts w:ascii="仿宋_GB2312" w:hAnsi="仿宋_GB2312" w:cs="仿宋_GB2312" w:eastAsia="仿宋_GB2312"/>
              </w:rPr>
              <w:t>合理化建议及增值服务</w:t>
            </w:r>
          </w:p>
        </w:tc>
        <w:tc>
          <w:tcPr>
            <w:tcW w:type="dxa" w:w="2492"/>
          </w:tcPr>
          <w:p>
            <w:pPr>
              <w:pStyle w:val="null3"/>
            </w:pPr>
            <w:r>
              <w:rPr>
                <w:rFonts w:ascii="仿宋_GB2312" w:hAnsi="仿宋_GB2312" w:cs="仿宋_GB2312" w:eastAsia="仿宋_GB2312"/>
              </w:rPr>
              <w:t>1、供应商针对本项目具体情况提出的合理化建议。 1.内容科学可行，内容丰富且有针对性，计5分； 2.内容可行，有针对性，得2分； 3.内容简单，得1分； 不提供不得分。 2、增值服务，每提供1个可操作性增值服务得2分，满分8分。</w:t>
            </w:r>
          </w:p>
        </w:tc>
        <w:tc>
          <w:tcPr>
            <w:tcW w:type="dxa" w:w="831"/>
          </w:tcPr>
          <w:p>
            <w:pPr>
              <w:pStyle w:val="null3"/>
              <w:jc w:val="right"/>
            </w:pPr>
            <w:r>
              <w:rPr>
                <w:rFonts w:ascii="仿宋_GB2312" w:hAnsi="仿宋_GB2312" w:cs="仿宋_GB2312" w:eastAsia="仿宋_GB2312"/>
              </w:rPr>
              <w:t>13.0000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投标方案说明书.docx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1.供应商提供2022年5月1日至今类似项目业绩，每提供一个业绩得2分，最高得6分；时间以合同签订时间为准。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其他资料.docx</w:t>
            </w:r>
          </w:p>
          <w:p>
            <w:pPr>
              <w:pStyle w:val="null3"/>
            </w:pPr>
            <w:r>
              <w:rPr>
                <w:rFonts w:ascii="仿宋_GB2312" w:hAnsi="仿宋_GB2312" w:cs="仿宋_GB2312" w:eastAsia="仿宋_GB2312"/>
              </w:rPr>
              <w:t>投标方案说明书.docx</w:t>
            </w:r>
          </w:p>
          <w:p>
            <w:pPr>
              <w:pStyle w:val="null3"/>
            </w:pPr>
            <w:r>
              <w:rPr>
                <w:rFonts w:ascii="仿宋_GB2312" w:hAnsi="仿宋_GB2312" w:cs="仿宋_GB2312" w:eastAsia="仿宋_GB2312"/>
              </w:rPr>
              <w:t>业绩汇总表.docx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1.经初审合格的磋商响应文件，其磋商报价为有效磋商报价，对符合政策性扣减的供应商的有效磋商价格进行政策性扣减，并依据扣减后的价格（评审价格）进行价格评审。 2.满足磋商文件实质性要求且最终报价最低的供应商的价格为磋商基准价，其价格分为满分20分。 3.磋商报价得分=（磋商基准价/最终磋商报价）×20的公式计算得分。 4.磋商报价不完整的，不进入评标标准价的计算，本项得0分。 5.经评委一致认定，供应商的磋商最终总报价低于公认市场成本，或超过采购预算,其响应将被拒绝。</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详见附件：法定代表人身份证明、法定代表人授权书.docx</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详见附件：投标方案说明书.docx</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详见附件：营业执照.docx</w:t>
      </w:r>
    </w:p>
    <w:p>
      <w:pPr>
        <w:pStyle w:val="null3"/>
        <w:ind w:firstLine="960"/>
      </w:pPr>
      <w:r>
        <w:rPr>
          <w:rFonts w:ascii="仿宋_GB2312" w:hAnsi="仿宋_GB2312" w:cs="仿宋_GB2312" w:eastAsia="仿宋_GB2312"/>
        </w:rPr>
        <w:t>详见附件：供应商3年内无重大违法记录的书面声明.docx</w:t>
      </w:r>
    </w:p>
    <w:p>
      <w:pPr>
        <w:pStyle w:val="null3"/>
        <w:ind w:firstLine="960"/>
      </w:pPr>
      <w:r>
        <w:rPr>
          <w:rFonts w:ascii="仿宋_GB2312" w:hAnsi="仿宋_GB2312" w:cs="仿宋_GB2312" w:eastAsia="仿宋_GB2312"/>
        </w:rPr>
        <w:t>详见附件：财务审计报告.docx</w:t>
      </w:r>
    </w:p>
    <w:p>
      <w:pPr>
        <w:pStyle w:val="null3"/>
        <w:ind w:firstLine="960"/>
      </w:pPr>
      <w:r>
        <w:rPr>
          <w:rFonts w:ascii="仿宋_GB2312" w:hAnsi="仿宋_GB2312" w:cs="仿宋_GB2312" w:eastAsia="仿宋_GB2312"/>
        </w:rPr>
        <w:t>详见附件：履行合同承诺书.docx</w:t>
      </w:r>
    </w:p>
    <w:p>
      <w:pPr>
        <w:pStyle w:val="null3"/>
        <w:ind w:firstLine="960"/>
      </w:pPr>
      <w:r>
        <w:rPr>
          <w:rFonts w:ascii="仿宋_GB2312" w:hAnsi="仿宋_GB2312" w:cs="仿宋_GB2312" w:eastAsia="仿宋_GB2312"/>
        </w:rPr>
        <w:t>详见附件：社会保障资金缴存单据或社保机构开具的社会保险参保缴费情况证明.docx</w:t>
      </w:r>
    </w:p>
    <w:p>
      <w:pPr>
        <w:pStyle w:val="null3"/>
        <w:ind w:firstLine="960"/>
      </w:pPr>
      <w:r>
        <w:rPr>
          <w:rFonts w:ascii="仿宋_GB2312" w:hAnsi="仿宋_GB2312" w:cs="仿宋_GB2312" w:eastAsia="仿宋_GB2312"/>
        </w:rPr>
        <w:t>详见附件：纳税证明或完税证明.docx</w:t>
      </w:r>
    </w:p>
    <w:p>
      <w:pPr>
        <w:pStyle w:val="null3"/>
        <w:ind w:firstLine="960"/>
      </w:pPr>
      <w:r>
        <w:rPr>
          <w:rFonts w:ascii="仿宋_GB2312" w:hAnsi="仿宋_GB2312" w:cs="仿宋_GB2312" w:eastAsia="仿宋_GB2312"/>
        </w:rPr>
        <w:t>详见附件：《旅行社业务经营许可证》.docx</w:t>
      </w:r>
    </w:p>
    <w:p>
      <w:pPr>
        <w:pStyle w:val="null3"/>
        <w:ind w:firstLine="960"/>
      </w:pPr>
      <w:r>
        <w:rPr>
          <w:rFonts w:ascii="仿宋_GB2312" w:hAnsi="仿宋_GB2312" w:cs="仿宋_GB2312" w:eastAsia="仿宋_GB2312"/>
        </w:rPr>
        <w:t>详见附件：信用截图.docx</w:t>
      </w:r>
    </w:p>
    <w:p>
      <w:pPr>
        <w:pStyle w:val="null3"/>
        <w:ind w:firstLine="960"/>
      </w:pPr>
      <w:r>
        <w:rPr>
          <w:rFonts w:ascii="仿宋_GB2312" w:hAnsi="仿宋_GB2312" w:cs="仿宋_GB2312" w:eastAsia="仿宋_GB2312"/>
        </w:rPr>
        <w:t>详见附件：单位负责人为同一人或者存在直接控股、管理关系的承诺书.docx</w:t>
      </w:r>
    </w:p>
    <w:p>
      <w:pPr>
        <w:pStyle w:val="null3"/>
        <w:ind w:firstLine="960"/>
      </w:pPr>
      <w:r>
        <w:rPr>
          <w:rFonts w:ascii="仿宋_GB2312" w:hAnsi="仿宋_GB2312" w:cs="仿宋_GB2312" w:eastAsia="仿宋_GB2312"/>
        </w:rPr>
        <w:t>详见附件：其他资料.docx</w:t>
      </w:r>
    </w:p>
    <w:p>
      <w:pPr>
        <w:pStyle w:val="null3"/>
        <w:ind w:firstLine="960"/>
      </w:pPr>
      <w:r>
        <w:rPr>
          <w:rFonts w:ascii="仿宋_GB2312" w:hAnsi="仿宋_GB2312" w:cs="仿宋_GB2312" w:eastAsia="仿宋_GB2312"/>
        </w:rPr>
        <w:t>详见附件：人员配备.docx</w:t>
      </w:r>
    </w:p>
    <w:p>
      <w:pPr>
        <w:pStyle w:val="null3"/>
        <w:ind w:firstLine="960"/>
      </w:pPr>
      <w:r>
        <w:rPr>
          <w:rFonts w:ascii="仿宋_GB2312" w:hAnsi="仿宋_GB2312" w:cs="仿宋_GB2312" w:eastAsia="仿宋_GB2312"/>
        </w:rPr>
        <w:t>详见附件：项目负责人简历表.docx</w:t>
      </w:r>
    </w:p>
    <w:p>
      <w:pPr>
        <w:pStyle w:val="null3"/>
        <w:ind w:firstLine="960"/>
      </w:pPr>
      <w:r>
        <w:rPr>
          <w:rFonts w:ascii="仿宋_GB2312" w:hAnsi="仿宋_GB2312" w:cs="仿宋_GB2312" w:eastAsia="仿宋_GB2312"/>
        </w:rPr>
        <w:t>详见附件：业绩汇总表.docx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详见附件：合同条款及格式.docx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