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版本号：ZCZX2025-CS-07520250527001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存量档案整理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ZCZX2025-CS-075</w:t>
      </w:r>
      <w:r>
        <w:br/>
      </w:r>
      <w:r>
        <w:br/>
      </w:r>
      <w:r>
        <w:br/>
      </w:r>
    </w:p>
    <w:p>
      <w:pPr>
        <w:pStyle w:val="null3"/>
        <w:jc w:val="center"/>
        <w:outlineLvl w:val="2"/>
      </w:pPr>
      <w:r>
        <w:rPr>
          <w:rFonts w:ascii="仿宋_GB2312" w:hAnsi="仿宋_GB2312" w:cs="仿宋_GB2312" w:eastAsia="仿宋_GB2312"/>
          <w:sz w:val="28"/>
          <w:b/>
        </w:rPr>
        <w:t>西安市城建档案馆</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西安市城建档案馆</w:t>
      </w:r>
      <w:r>
        <w:rPr>
          <w:rFonts w:ascii="仿宋_GB2312" w:hAnsi="仿宋_GB2312" w:cs="仿宋_GB2312" w:eastAsia="仿宋_GB2312"/>
        </w:rPr>
        <w:t>委托，拟对</w:t>
      </w:r>
      <w:r>
        <w:rPr>
          <w:rFonts w:ascii="仿宋_GB2312" w:hAnsi="仿宋_GB2312" w:cs="仿宋_GB2312" w:eastAsia="仿宋_GB2312"/>
        </w:rPr>
        <w:t>存量档案整理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ZCZX2025-CS-075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存量档案整理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对存量档案进行分类、整理、打码、条目录入、扫描、挂接、制作封皮、目录、备考、装订、档案装盒、移交等加工处理。项目报价包含最后的档案盒。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采购包1（存量档案整理）：属于专门面向小微企业采购。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授权：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p>
      <w:pPr>
        <w:pStyle w:val="null3"/>
      </w:pPr>
      <w:r>
        <w:rPr>
          <w:rFonts w:ascii="仿宋_GB2312" w:hAnsi="仿宋_GB2312" w:cs="仿宋_GB2312" w:eastAsia="仿宋_GB2312"/>
        </w:rPr>
        <w:t>2、资质：供应具备国家保密局颁发的《国家秘密载体印制资质证书》，资质类别为涉密档案数字化加工。</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西安市城建档案馆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西安市欧亚六路1号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88010822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姚海麟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下浮15%向中标（成交）供应商收取代理服务费。由于本项目成交价为综合单价，计算服务费时，以本项目采购预算作出基准价。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西安市城建档案馆</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西安市城建档案馆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西安市城建档案馆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依据档案分类整理及装订要求、档案著录质量要求、档案扫描质量要求、数据质量要求一级合同约定执行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联系人：姚海麟 吴芳超</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地址：西安曲江新区翠华南路1688号创意盒子13层1304室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对存量档案进行分类、整理、打码、条目录入、扫描、挂接、制作封皮、目录、备考、装订、档案装盒、移交等加工处理。项目的综合单价报价包含最后的档案盒。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存量档案整理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标的名称：存量档案整理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项目概况</w:t>
            </w:r>
            <w:r>
              <w:rPr>
                <w:rFonts w:ascii="仿宋_GB2312" w:hAnsi="仿宋_GB2312" w:cs="仿宋_GB2312" w:eastAsia="仿宋_GB2312"/>
                <w:sz w:val="21"/>
              </w:rPr>
              <w:t>：</w:t>
            </w:r>
            <w:r>
              <w:rPr>
                <w:rFonts w:ascii="仿宋_GB2312" w:hAnsi="仿宋_GB2312" w:cs="仿宋_GB2312" w:eastAsia="仿宋_GB2312"/>
                <w:sz w:val="21"/>
              </w:rPr>
              <w:t>对西安市城建档案馆存量档案进行整理并电子化扫描及挂接入城建</w:t>
            </w:r>
            <w:r>
              <w:rPr>
                <w:rFonts w:ascii="仿宋_GB2312" w:hAnsi="仿宋_GB2312" w:cs="仿宋_GB2312" w:eastAsia="仿宋_GB2312"/>
                <w:sz w:val="21"/>
              </w:rPr>
              <w:t>档案管理系统</w:t>
            </w:r>
            <w:r>
              <w:rPr>
                <w:rFonts w:ascii="仿宋_GB2312" w:hAnsi="仿宋_GB2312" w:cs="仿宋_GB2312" w:eastAsia="仿宋_GB2312"/>
                <w:sz w:val="21"/>
              </w:rPr>
              <w:t>数据库。</w:t>
            </w:r>
            <w:r>
              <w:rPr>
                <w:rFonts w:ascii="仿宋_GB2312" w:hAnsi="仿宋_GB2312" w:cs="仿宋_GB2312" w:eastAsia="仿宋_GB2312"/>
                <w:sz w:val="21"/>
              </w:rPr>
              <w:t>报价要求：供应商报</w:t>
            </w:r>
            <w:r>
              <w:rPr>
                <w:rFonts w:ascii="仿宋_GB2312" w:hAnsi="仿宋_GB2312" w:cs="仿宋_GB2312" w:eastAsia="仿宋_GB2312"/>
                <w:sz w:val="21"/>
              </w:rPr>
              <w:t>A4</w:t>
            </w:r>
            <w:r>
              <w:rPr>
                <w:rFonts w:ascii="仿宋_GB2312" w:hAnsi="仿宋_GB2312" w:cs="仿宋_GB2312" w:eastAsia="仿宋_GB2312"/>
                <w:sz w:val="21"/>
              </w:rPr>
              <w:t>幅面的</w:t>
            </w:r>
            <w:r>
              <w:rPr>
                <w:rFonts w:ascii="仿宋_GB2312" w:hAnsi="仿宋_GB2312" w:cs="仿宋_GB2312" w:eastAsia="仿宋_GB2312"/>
                <w:sz w:val="21"/>
              </w:rPr>
              <w:t>综合单价</w:t>
            </w:r>
            <w:r>
              <w:rPr>
                <w:rFonts w:ascii="仿宋_GB2312" w:hAnsi="仿宋_GB2312" w:cs="仿宋_GB2312" w:eastAsia="仿宋_GB2312"/>
                <w:sz w:val="21"/>
              </w:rPr>
              <w:t>，大于</w:t>
            </w:r>
            <w:r>
              <w:rPr>
                <w:rFonts w:ascii="仿宋_GB2312" w:hAnsi="仿宋_GB2312" w:cs="仿宋_GB2312" w:eastAsia="仿宋_GB2312"/>
                <w:sz w:val="21"/>
              </w:rPr>
              <w:t>A4</w:t>
            </w:r>
            <w:r>
              <w:rPr>
                <w:rFonts w:ascii="仿宋_GB2312" w:hAnsi="仿宋_GB2312" w:cs="仿宋_GB2312" w:eastAsia="仿宋_GB2312"/>
                <w:sz w:val="21"/>
              </w:rPr>
              <w:t>幅面的折合为</w:t>
            </w:r>
            <w:r>
              <w:rPr>
                <w:rFonts w:ascii="仿宋_GB2312" w:hAnsi="仿宋_GB2312" w:cs="仿宋_GB2312" w:eastAsia="仿宋_GB2312"/>
                <w:sz w:val="21"/>
              </w:rPr>
              <w:t>A4</w:t>
            </w:r>
            <w:r>
              <w:rPr>
                <w:rFonts w:ascii="仿宋_GB2312" w:hAnsi="仿宋_GB2312" w:cs="仿宋_GB2312" w:eastAsia="仿宋_GB2312"/>
                <w:sz w:val="21"/>
              </w:rPr>
              <w:t>幅面计算（图纸档案一页统一按照</w:t>
            </w:r>
            <w:r>
              <w:rPr>
                <w:rFonts w:ascii="仿宋_GB2312" w:hAnsi="仿宋_GB2312" w:cs="仿宋_GB2312" w:eastAsia="仿宋_GB2312"/>
                <w:sz w:val="21"/>
              </w:rPr>
              <w:t>10</w:t>
            </w:r>
            <w:r>
              <w:rPr>
                <w:rFonts w:ascii="仿宋_GB2312" w:hAnsi="仿宋_GB2312" w:cs="仿宋_GB2312" w:eastAsia="仿宋_GB2312"/>
                <w:sz w:val="21"/>
              </w:rPr>
              <w:t>页</w:t>
            </w:r>
            <w:r>
              <w:rPr>
                <w:rFonts w:ascii="仿宋_GB2312" w:hAnsi="仿宋_GB2312" w:cs="仿宋_GB2312" w:eastAsia="仿宋_GB2312"/>
                <w:sz w:val="21"/>
              </w:rPr>
              <w:t>A4</w:t>
            </w:r>
            <w:r>
              <w:rPr>
                <w:rFonts w:ascii="仿宋_GB2312" w:hAnsi="仿宋_GB2312" w:cs="仿宋_GB2312" w:eastAsia="仿宋_GB2312"/>
                <w:sz w:val="21"/>
              </w:rPr>
              <w:t>幅面折算），综合单价一次性包死。所有的人员、技术、软硬件设备等相关费用已分摊到综合单价中，采购人不再另行支付。</w:t>
            </w:r>
            <w:r>
              <w:rPr>
                <w:rFonts w:ascii="仿宋_GB2312" w:hAnsi="仿宋_GB2312" w:cs="仿宋_GB2312" w:eastAsia="仿宋_GB2312"/>
                <w:sz w:val="21"/>
              </w:rPr>
              <w:t>总工作量</w:t>
            </w:r>
            <w:r>
              <w:rPr>
                <w:rFonts w:ascii="仿宋_GB2312" w:hAnsi="仿宋_GB2312" w:cs="仿宋_GB2312" w:eastAsia="仿宋_GB2312"/>
                <w:sz w:val="21"/>
              </w:rPr>
              <w:t>=</w:t>
            </w:r>
            <w:r>
              <w:rPr>
                <w:rFonts w:ascii="仿宋_GB2312" w:hAnsi="仿宋_GB2312" w:cs="仿宋_GB2312" w:eastAsia="仿宋_GB2312"/>
                <w:sz w:val="21"/>
              </w:rPr>
              <w:t>该项目预算总价</w:t>
            </w:r>
            <w:r>
              <w:rPr>
                <w:rFonts w:ascii="仿宋_GB2312" w:hAnsi="仿宋_GB2312" w:cs="仿宋_GB2312" w:eastAsia="仿宋_GB2312"/>
                <w:sz w:val="21"/>
              </w:rPr>
              <w:t>/</w:t>
            </w:r>
            <w:r>
              <w:rPr>
                <w:rFonts w:ascii="仿宋_GB2312" w:hAnsi="仿宋_GB2312" w:cs="仿宋_GB2312" w:eastAsia="仿宋_GB2312"/>
                <w:sz w:val="21"/>
              </w:rPr>
              <w:t>供应商综合单价报价。</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服务内容</w:t>
            </w:r>
          </w:p>
          <w:p>
            <w:pPr>
              <w:pStyle w:val="null3"/>
              <w:jc w:val="both"/>
            </w:pPr>
            <w:r>
              <w:rPr>
                <w:rFonts w:ascii="仿宋_GB2312" w:hAnsi="仿宋_GB2312" w:cs="仿宋_GB2312" w:eastAsia="仿宋_GB2312"/>
              </w:rPr>
              <w:t>对存量档案进行分类、整理、打码、条目录入、扫描、挂接、制作封皮、目录、备考、装订、档案装盒、移交等加工处理。项目的综合单价报价包含最后的档案盒。</w:t>
            </w:r>
          </w:p>
          <w:p>
            <w:pPr>
              <w:pStyle w:val="null3"/>
              <w:jc w:val="both"/>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基本流程</w:t>
            </w:r>
          </w:p>
          <w:p>
            <w:pPr>
              <w:pStyle w:val="null3"/>
              <w:jc w:val="both"/>
            </w:pPr>
            <w:r>
              <w:drawing>
                <wp:inline distT="0" distR="0" distB="0" distL="0">
                  <wp:extent cx="1621155" cy="62086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620867"/>
                          </a:xfrm>
                          <a:prstGeom prst="rect">
                            <a:avLst/>
                          </a:prstGeom>
                        </pic:spPr>
                      </pic:pic>
                    </a:graphicData>
                  </a:graphic>
                </wp:inline>
              </w:drawing>
            </w:r>
          </w:p>
          <w:p>
            <w:pPr>
              <w:pStyle w:val="null3"/>
              <w:jc w:val="both"/>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技术标准</w:t>
            </w:r>
          </w:p>
          <w:p>
            <w:pPr>
              <w:pStyle w:val="null3"/>
              <w:jc w:val="both"/>
            </w:pPr>
            <w:r>
              <w:rPr>
                <w:rFonts w:ascii="仿宋_GB2312" w:hAnsi="仿宋_GB2312" w:cs="仿宋_GB2312" w:eastAsia="仿宋_GB2312"/>
              </w:rPr>
              <w:t>以如下档案部门现行技术规范为技术标准：</w:t>
            </w:r>
          </w:p>
          <w:p>
            <w:pPr>
              <w:pStyle w:val="null3"/>
              <w:jc w:val="both"/>
            </w:pPr>
            <w:r>
              <w:rPr>
                <w:rFonts w:ascii="仿宋_GB2312" w:hAnsi="仿宋_GB2312" w:cs="仿宋_GB2312" w:eastAsia="仿宋_GB2312"/>
              </w:rPr>
              <w:t>《档案著录规则》（</w:t>
            </w:r>
            <w:r>
              <w:rPr>
                <w:rFonts w:ascii="仿宋_GB2312" w:hAnsi="仿宋_GB2312" w:cs="仿宋_GB2312" w:eastAsia="仿宋_GB2312"/>
              </w:rPr>
              <w:t>DA/T18-2022</w:t>
            </w:r>
            <w:r>
              <w:rPr>
                <w:rFonts w:ascii="仿宋_GB2312" w:hAnsi="仿宋_GB2312" w:cs="仿宋_GB2312" w:eastAsia="仿宋_GB2312"/>
              </w:rPr>
              <w:t>）；</w:t>
            </w:r>
          </w:p>
          <w:p>
            <w:pPr>
              <w:pStyle w:val="null3"/>
              <w:jc w:val="both"/>
            </w:pPr>
            <w:r>
              <w:rPr>
                <w:rFonts w:ascii="仿宋_GB2312" w:hAnsi="仿宋_GB2312" w:cs="仿宋_GB2312" w:eastAsia="仿宋_GB2312"/>
              </w:rPr>
              <w:t>《归档文件整理规则》（</w:t>
            </w:r>
            <w:r>
              <w:rPr>
                <w:rFonts w:ascii="仿宋_GB2312" w:hAnsi="仿宋_GB2312" w:cs="仿宋_GB2312" w:eastAsia="仿宋_GB2312"/>
              </w:rPr>
              <w:t>DA/T22-2015</w:t>
            </w:r>
            <w:r>
              <w:rPr>
                <w:rFonts w:ascii="仿宋_GB2312" w:hAnsi="仿宋_GB2312" w:cs="仿宋_GB2312" w:eastAsia="仿宋_GB2312"/>
              </w:rPr>
              <w:t>）；</w:t>
            </w:r>
          </w:p>
          <w:p>
            <w:pPr>
              <w:pStyle w:val="null3"/>
              <w:jc w:val="both"/>
            </w:pPr>
            <w:r>
              <w:rPr>
                <w:rFonts w:ascii="仿宋_GB2312" w:hAnsi="仿宋_GB2312" w:cs="仿宋_GB2312" w:eastAsia="仿宋_GB2312"/>
              </w:rPr>
              <w:t>《建设工程文件归档规范》（</w:t>
            </w:r>
            <w:r>
              <w:rPr>
                <w:rFonts w:ascii="仿宋_GB2312" w:hAnsi="仿宋_GB2312" w:cs="仿宋_GB2312" w:eastAsia="仿宋_GB2312"/>
              </w:rPr>
              <w:t>GB/T 50328—2014</w:t>
            </w:r>
            <w:r>
              <w:rPr>
                <w:rFonts w:ascii="仿宋_GB2312" w:hAnsi="仿宋_GB2312" w:cs="仿宋_GB2312" w:eastAsia="仿宋_GB2312"/>
              </w:rPr>
              <w:t>）；</w:t>
            </w:r>
          </w:p>
          <w:p>
            <w:pPr>
              <w:pStyle w:val="null3"/>
              <w:jc w:val="both"/>
            </w:pPr>
            <w:r>
              <w:rPr>
                <w:rFonts w:ascii="仿宋_GB2312" w:hAnsi="仿宋_GB2312" w:cs="仿宋_GB2312" w:eastAsia="仿宋_GB2312"/>
              </w:rPr>
              <w:t>《建设电子文件与电子档案管理规范》</w:t>
            </w:r>
            <w:r>
              <w:rPr>
                <w:rFonts w:ascii="仿宋_GB2312" w:hAnsi="仿宋_GB2312" w:cs="仿宋_GB2312" w:eastAsia="仿宋_GB2312"/>
              </w:rPr>
              <w:t>(CJJ/T117—2017)</w:t>
            </w:r>
            <w:r>
              <w:rPr>
                <w:rFonts w:ascii="仿宋_GB2312" w:hAnsi="仿宋_GB2312" w:cs="仿宋_GB2312" w:eastAsia="仿宋_GB2312"/>
              </w:rPr>
              <w:t>；</w:t>
            </w:r>
          </w:p>
          <w:p>
            <w:pPr>
              <w:pStyle w:val="null3"/>
              <w:jc w:val="both"/>
            </w:pPr>
            <w:r>
              <w:rPr>
                <w:rFonts w:ascii="仿宋_GB2312" w:hAnsi="仿宋_GB2312" w:cs="仿宋_GB2312" w:eastAsia="仿宋_GB2312"/>
              </w:rPr>
              <w:t>《建设电子档案元数据标准》（</w:t>
            </w:r>
            <w:r>
              <w:rPr>
                <w:rFonts w:ascii="仿宋_GB2312" w:hAnsi="仿宋_GB2312" w:cs="仿宋_GB2312" w:eastAsia="仿宋_GB2312"/>
              </w:rPr>
              <w:t>CJJ/T187-2012</w:t>
            </w:r>
            <w:r>
              <w:rPr>
                <w:rFonts w:ascii="仿宋_GB2312" w:hAnsi="仿宋_GB2312" w:cs="仿宋_GB2312" w:eastAsia="仿宋_GB2312"/>
              </w:rPr>
              <w:t>）；</w:t>
            </w:r>
          </w:p>
          <w:p>
            <w:pPr>
              <w:pStyle w:val="null3"/>
              <w:jc w:val="both"/>
            </w:pPr>
            <w:r>
              <w:rPr>
                <w:rFonts w:ascii="仿宋_GB2312" w:hAnsi="仿宋_GB2312" w:cs="仿宋_GB2312" w:eastAsia="仿宋_GB2312"/>
              </w:rPr>
              <w:t>《城建档案业务管理规范》（</w:t>
            </w:r>
            <w:r>
              <w:rPr>
                <w:rFonts w:ascii="仿宋_GB2312" w:hAnsi="仿宋_GB2312" w:cs="仿宋_GB2312" w:eastAsia="仿宋_GB2312"/>
              </w:rPr>
              <w:t>CJJ/T158-2011</w:t>
            </w:r>
            <w:r>
              <w:rPr>
                <w:rFonts w:ascii="仿宋_GB2312" w:hAnsi="仿宋_GB2312" w:cs="仿宋_GB2312" w:eastAsia="仿宋_GB2312"/>
              </w:rPr>
              <w:t>）；</w:t>
            </w:r>
          </w:p>
          <w:p>
            <w:pPr>
              <w:pStyle w:val="null3"/>
              <w:jc w:val="both"/>
            </w:pPr>
            <w:r>
              <w:rPr>
                <w:rFonts w:ascii="仿宋_GB2312" w:hAnsi="仿宋_GB2312" w:cs="仿宋_GB2312" w:eastAsia="仿宋_GB2312"/>
              </w:rPr>
              <w:t>《纸质档案数字化规范》（</w:t>
            </w:r>
            <w:r>
              <w:rPr>
                <w:rFonts w:ascii="仿宋_GB2312" w:hAnsi="仿宋_GB2312" w:cs="仿宋_GB2312" w:eastAsia="仿宋_GB2312"/>
              </w:rPr>
              <w:t>DA/T 31—2017</w:t>
            </w:r>
            <w:r>
              <w:rPr>
                <w:rFonts w:ascii="仿宋_GB2312" w:hAnsi="仿宋_GB2312" w:cs="仿宋_GB2312" w:eastAsia="仿宋_GB2312"/>
              </w:rPr>
              <w:t>）；</w:t>
            </w:r>
          </w:p>
          <w:p>
            <w:pPr>
              <w:pStyle w:val="null3"/>
              <w:jc w:val="both"/>
            </w:pPr>
            <w:r>
              <w:rPr>
                <w:rFonts w:ascii="仿宋_GB2312" w:hAnsi="仿宋_GB2312" w:cs="仿宋_GB2312" w:eastAsia="仿宋_GB2312"/>
              </w:rPr>
              <w:t>《西安市建设工程电子档案归档与管理规定》；</w:t>
            </w:r>
          </w:p>
          <w:p>
            <w:pPr>
              <w:pStyle w:val="null3"/>
              <w:jc w:val="both"/>
            </w:pPr>
            <w:r>
              <w:rPr>
                <w:rFonts w:ascii="仿宋_GB2312" w:hAnsi="仿宋_GB2312" w:cs="仿宋_GB2312" w:eastAsia="仿宋_GB2312"/>
              </w:rPr>
              <w:t>《建设电子文件与电子档案管理规范》（</w:t>
            </w:r>
            <w:r>
              <w:rPr>
                <w:rFonts w:ascii="仿宋_GB2312" w:hAnsi="仿宋_GB2312" w:cs="仿宋_GB2312" w:eastAsia="仿宋_GB2312"/>
              </w:rPr>
              <w:t>CJJ/T 117-2017</w:t>
            </w:r>
            <w:r>
              <w:rPr>
                <w:rFonts w:ascii="仿宋_GB2312" w:hAnsi="仿宋_GB2312" w:cs="仿宋_GB2312" w:eastAsia="仿宋_GB2312"/>
              </w:rPr>
              <w:t>）；</w:t>
            </w:r>
          </w:p>
          <w:p>
            <w:pPr>
              <w:pStyle w:val="null3"/>
              <w:jc w:val="both"/>
            </w:pPr>
            <w:r>
              <w:rPr>
                <w:rFonts w:ascii="仿宋_GB2312" w:hAnsi="仿宋_GB2312" w:cs="仿宋_GB2312" w:eastAsia="仿宋_GB2312"/>
              </w:rPr>
              <w:t>《城建档案业务管理规范》（</w:t>
            </w:r>
            <w:r>
              <w:rPr>
                <w:rFonts w:ascii="仿宋_GB2312" w:hAnsi="仿宋_GB2312" w:cs="仿宋_GB2312" w:eastAsia="仿宋_GB2312"/>
              </w:rPr>
              <w:t>JJ/T 158-2011</w:t>
            </w:r>
            <w:r>
              <w:rPr>
                <w:rFonts w:ascii="仿宋_GB2312" w:hAnsi="仿宋_GB2312" w:cs="仿宋_GB2312" w:eastAsia="仿宋_GB2312"/>
              </w:rPr>
              <w:t>）；</w:t>
            </w:r>
          </w:p>
          <w:p>
            <w:pPr>
              <w:pStyle w:val="null3"/>
              <w:jc w:val="both"/>
            </w:pPr>
            <w:r>
              <w:rPr>
                <w:rFonts w:ascii="仿宋_GB2312" w:hAnsi="仿宋_GB2312" w:cs="仿宋_GB2312" w:eastAsia="仿宋_GB2312"/>
              </w:rPr>
              <w:t>《档案服务外包工作规范》第</w:t>
            </w:r>
            <w:r>
              <w:rPr>
                <w:rFonts w:ascii="仿宋_GB2312" w:hAnsi="仿宋_GB2312" w:cs="仿宋_GB2312" w:eastAsia="仿宋_GB2312"/>
              </w:rPr>
              <w:t>1</w:t>
            </w:r>
            <w:r>
              <w:rPr>
                <w:rFonts w:ascii="仿宋_GB2312" w:hAnsi="仿宋_GB2312" w:cs="仿宋_GB2312" w:eastAsia="仿宋_GB2312"/>
              </w:rPr>
              <w:t>部分：总则（</w:t>
            </w:r>
            <w:r>
              <w:rPr>
                <w:rFonts w:ascii="仿宋_GB2312" w:hAnsi="仿宋_GB2312" w:cs="仿宋_GB2312" w:eastAsia="仿宋_GB2312"/>
              </w:rPr>
              <w:t>DA/T68.1-2020</w:t>
            </w:r>
            <w:r>
              <w:rPr>
                <w:rFonts w:ascii="仿宋_GB2312" w:hAnsi="仿宋_GB2312" w:cs="仿宋_GB2312" w:eastAsia="仿宋_GB2312"/>
              </w:rPr>
              <w:t>）；</w:t>
            </w:r>
          </w:p>
          <w:p>
            <w:pPr>
              <w:pStyle w:val="null3"/>
              <w:jc w:val="both"/>
            </w:pPr>
            <w:r>
              <w:rPr>
                <w:rFonts w:ascii="仿宋_GB2312" w:hAnsi="仿宋_GB2312" w:cs="仿宋_GB2312" w:eastAsia="仿宋_GB2312"/>
              </w:rPr>
              <w:t>《档案服务外包工作规范》第</w:t>
            </w:r>
            <w:r>
              <w:rPr>
                <w:rFonts w:ascii="仿宋_GB2312" w:hAnsi="仿宋_GB2312" w:cs="仿宋_GB2312" w:eastAsia="仿宋_GB2312"/>
              </w:rPr>
              <w:t>2</w:t>
            </w:r>
            <w:r>
              <w:rPr>
                <w:rFonts w:ascii="仿宋_GB2312" w:hAnsi="仿宋_GB2312" w:cs="仿宋_GB2312" w:eastAsia="仿宋_GB2312"/>
              </w:rPr>
              <w:t>部分：档案数字化服务（</w:t>
            </w:r>
            <w:r>
              <w:rPr>
                <w:rFonts w:ascii="仿宋_GB2312" w:hAnsi="仿宋_GB2312" w:cs="仿宋_GB2312" w:eastAsia="仿宋_GB2312"/>
              </w:rPr>
              <w:t>DA/T68.1-2020</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四</w:t>
            </w:r>
            <w:r>
              <w:rPr>
                <w:rFonts w:ascii="仿宋_GB2312" w:hAnsi="仿宋_GB2312" w:cs="仿宋_GB2312" w:eastAsia="仿宋_GB2312"/>
              </w:rPr>
              <w:t>)</w:t>
            </w:r>
            <w:r>
              <w:rPr>
                <w:rFonts w:ascii="仿宋_GB2312" w:hAnsi="仿宋_GB2312" w:cs="仿宋_GB2312" w:eastAsia="仿宋_GB2312"/>
              </w:rPr>
              <w:t>具体质量要求</w:t>
            </w:r>
          </w:p>
          <w:p>
            <w:pPr>
              <w:pStyle w:val="null3"/>
              <w:jc w:val="both"/>
            </w:pPr>
            <w:r>
              <w:rPr>
                <w:rFonts w:ascii="仿宋_GB2312" w:hAnsi="仿宋_GB2312" w:cs="仿宋_GB2312" w:eastAsia="仿宋_GB2312"/>
              </w:rPr>
              <w:t>1</w:t>
            </w:r>
            <w:r>
              <w:rPr>
                <w:rFonts w:ascii="仿宋_GB2312" w:hAnsi="仿宋_GB2312" w:cs="仿宋_GB2312" w:eastAsia="仿宋_GB2312"/>
              </w:rPr>
              <w:t>、纸质文件整理</w:t>
            </w:r>
          </w:p>
          <w:p>
            <w:pPr>
              <w:pStyle w:val="null3"/>
              <w:jc w:val="both"/>
            </w:pPr>
            <w:r>
              <w:rPr>
                <w:rFonts w:ascii="仿宋_GB2312" w:hAnsi="仿宋_GB2312" w:cs="仿宋_GB2312" w:eastAsia="仿宋_GB2312"/>
              </w:rPr>
              <w:t xml:space="preserve">1.1 </w:t>
            </w:r>
            <w:r>
              <w:rPr>
                <w:rFonts w:ascii="仿宋_GB2312" w:hAnsi="仿宋_GB2312" w:cs="仿宋_GB2312" w:eastAsia="仿宋_GB2312"/>
              </w:rPr>
              <w:t>立卷原则和方法</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）对属于归档范围的文件进行分类，确定归入案卷的文件材料；</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）对卷内文件材料进行排列、编目、装订、装盒；</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）排列所有案卷，形成案卷目录；</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）业务类资料立卷应遵循文件的自然形成规律，保持卷内文件的有机联系，便于档案的保管和利用；</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）文书类资料应按照《归档文件整理规则》</w:t>
            </w:r>
            <w:r>
              <w:rPr>
                <w:rFonts w:ascii="仿宋_GB2312" w:hAnsi="仿宋_GB2312" w:cs="仿宋_GB2312" w:eastAsia="仿宋_GB2312"/>
              </w:rPr>
              <w:t>DA/T22-2015</w:t>
            </w:r>
            <w:r>
              <w:rPr>
                <w:rFonts w:ascii="仿宋_GB2312" w:hAnsi="仿宋_GB2312" w:cs="仿宋_GB2312" w:eastAsia="仿宋_GB2312"/>
              </w:rPr>
              <w:t>进行分类排序；</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）不同载体的文件应分别立卷；</w:t>
            </w:r>
          </w:p>
          <w:p>
            <w:pPr>
              <w:pStyle w:val="null3"/>
              <w:jc w:val="both"/>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）案卷不宜过厚，文字材料卷厚度不宜超过</w:t>
            </w:r>
            <w:r>
              <w:rPr>
                <w:rFonts w:ascii="仿宋_GB2312" w:hAnsi="仿宋_GB2312" w:cs="仿宋_GB2312" w:eastAsia="仿宋_GB2312"/>
              </w:rPr>
              <w:t>20mm</w:t>
            </w:r>
            <w:r>
              <w:rPr>
                <w:rFonts w:ascii="仿宋_GB2312" w:hAnsi="仿宋_GB2312" w:cs="仿宋_GB2312" w:eastAsia="仿宋_GB2312"/>
              </w:rPr>
              <w:t>，图纸卷厚度不宜超过</w:t>
            </w:r>
          </w:p>
          <w:p>
            <w:pPr>
              <w:pStyle w:val="null3"/>
              <w:jc w:val="both"/>
            </w:pPr>
            <w:r>
              <w:rPr>
                <w:rFonts w:ascii="仿宋_GB2312" w:hAnsi="仿宋_GB2312" w:cs="仿宋_GB2312" w:eastAsia="仿宋_GB2312"/>
              </w:rPr>
              <w:t>40mm</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）案卷内不应有重份文件。</w:t>
            </w:r>
          </w:p>
          <w:p>
            <w:pPr>
              <w:pStyle w:val="null3"/>
              <w:jc w:val="both"/>
            </w:pPr>
            <w:r>
              <w:rPr>
                <w:rFonts w:ascii="仿宋_GB2312" w:hAnsi="仿宋_GB2312" w:cs="仿宋_GB2312" w:eastAsia="仿宋_GB2312"/>
              </w:rPr>
              <w:t xml:space="preserve">1.2 </w:t>
            </w:r>
            <w:r>
              <w:rPr>
                <w:rFonts w:ascii="仿宋_GB2312" w:hAnsi="仿宋_GB2312" w:cs="仿宋_GB2312" w:eastAsia="仿宋_GB2312"/>
              </w:rPr>
              <w:t>卷内文件排列</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文字材料应按事项、专业顺序排列。同一事项的请示与批复、同一文件的印本与定稿、主体与附件不应分开，并应按批复在前、请示在后，印本在前、定稿在后，主体在前、附件在后，汇总在前、内容在后的顺序排列。</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）图纸应按专业排列，同专业图纸应按图号顺序排列，图纸目录应在最前面。</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）当案卷内既有文字材料又有图纸时，文字材料应排在前面，图纸应排在后面，但应遵循主件与附件不能分开的原则。</w:t>
            </w:r>
          </w:p>
          <w:p>
            <w:pPr>
              <w:pStyle w:val="null3"/>
              <w:jc w:val="both"/>
            </w:pPr>
            <w:r>
              <w:rPr>
                <w:rFonts w:ascii="仿宋_GB2312" w:hAnsi="仿宋_GB2312" w:cs="仿宋_GB2312" w:eastAsia="仿宋_GB2312"/>
              </w:rPr>
              <w:t xml:space="preserve">1.3 </w:t>
            </w:r>
            <w:r>
              <w:rPr>
                <w:rFonts w:ascii="仿宋_GB2312" w:hAnsi="仿宋_GB2312" w:cs="仿宋_GB2312" w:eastAsia="仿宋_GB2312"/>
              </w:rPr>
              <w:t>案卷编目</w:t>
            </w:r>
          </w:p>
          <w:p>
            <w:pPr>
              <w:pStyle w:val="null3"/>
              <w:jc w:val="both"/>
            </w:pPr>
            <w:r>
              <w:rPr>
                <w:rFonts w:ascii="仿宋_GB2312" w:hAnsi="仿宋_GB2312" w:cs="仿宋_GB2312" w:eastAsia="仿宋_GB2312"/>
              </w:rPr>
              <w:t>(1)</w:t>
            </w:r>
            <w:r>
              <w:rPr>
                <w:rFonts w:ascii="仿宋_GB2312" w:hAnsi="仿宋_GB2312" w:cs="仿宋_GB2312" w:eastAsia="仿宋_GB2312"/>
              </w:rPr>
              <w:t>卷内文件均应按有书写内容的页面编号。每卷单独编号，页号 从</w:t>
            </w:r>
            <w:r>
              <w:rPr>
                <w:rFonts w:ascii="仿宋_GB2312" w:hAnsi="仿宋_GB2312" w:cs="仿宋_GB2312" w:eastAsia="仿宋_GB2312"/>
              </w:rPr>
              <w:t>“001”</w:t>
            </w:r>
            <w:r>
              <w:rPr>
                <w:rFonts w:ascii="仿宋_GB2312" w:hAnsi="仿宋_GB2312" w:cs="仿宋_GB2312" w:eastAsia="仿宋_GB2312"/>
              </w:rPr>
              <w:t>开始；</w:t>
            </w:r>
          </w:p>
          <w:p>
            <w:pPr>
              <w:pStyle w:val="null3"/>
              <w:jc w:val="both"/>
            </w:pPr>
            <w:r>
              <w:rPr>
                <w:rFonts w:ascii="仿宋_GB2312" w:hAnsi="仿宋_GB2312" w:cs="仿宋_GB2312" w:eastAsia="仿宋_GB2312"/>
              </w:rPr>
              <w:t>(2)</w:t>
            </w:r>
            <w:r>
              <w:rPr>
                <w:rFonts w:ascii="仿宋_GB2312" w:hAnsi="仿宋_GB2312" w:cs="仿宋_GB2312" w:eastAsia="仿宋_GB2312"/>
              </w:rPr>
              <w:t>页号编写位置单面书写的文件在右下角；双面书写的文件，正面在右下角，背面在左下角。折叠后的图纸一律在右下角；</w:t>
            </w:r>
          </w:p>
          <w:p>
            <w:pPr>
              <w:pStyle w:val="null3"/>
              <w:jc w:val="both"/>
            </w:pPr>
            <w:r>
              <w:rPr>
                <w:rFonts w:ascii="仿宋_GB2312" w:hAnsi="仿宋_GB2312" w:cs="仿宋_GB2312" w:eastAsia="仿宋_GB2312"/>
              </w:rPr>
              <w:t>(3)</w:t>
            </w:r>
            <w:r>
              <w:rPr>
                <w:rFonts w:ascii="仿宋_GB2312" w:hAnsi="仿宋_GB2312" w:cs="仿宋_GB2312" w:eastAsia="仿宋_GB2312"/>
              </w:rPr>
              <w:t>页号应用号码机打出，蓝色或黑色均可，不得徒手书写编号；</w:t>
            </w:r>
          </w:p>
          <w:p>
            <w:pPr>
              <w:pStyle w:val="null3"/>
              <w:jc w:val="both"/>
            </w:pPr>
            <w:r>
              <w:rPr>
                <w:rFonts w:ascii="仿宋_GB2312" w:hAnsi="仿宋_GB2312" w:cs="仿宋_GB2312" w:eastAsia="仿宋_GB2312"/>
              </w:rPr>
              <w:t>(4)</w:t>
            </w:r>
            <w:r>
              <w:rPr>
                <w:rFonts w:ascii="仿宋_GB2312" w:hAnsi="仿宋_GB2312" w:cs="仿宋_GB2312" w:eastAsia="仿宋_GB2312"/>
              </w:rPr>
              <w:t>案卷封面、卷内目录、卷内备考表不编写页号；</w:t>
            </w:r>
          </w:p>
          <w:p>
            <w:pPr>
              <w:pStyle w:val="null3"/>
              <w:jc w:val="both"/>
            </w:pPr>
            <w:r>
              <w:rPr>
                <w:rFonts w:ascii="仿宋_GB2312" w:hAnsi="仿宋_GB2312" w:cs="仿宋_GB2312" w:eastAsia="仿宋_GB2312"/>
              </w:rPr>
              <w:t>(5)</w:t>
            </w:r>
            <w:r>
              <w:rPr>
                <w:rFonts w:ascii="仿宋_GB2312" w:hAnsi="仿宋_GB2312" w:cs="仿宋_GB2312" w:eastAsia="仿宋_GB2312"/>
              </w:rPr>
              <w:t>卷内目录排列在卷内文件首页之前；</w:t>
            </w:r>
          </w:p>
          <w:p>
            <w:pPr>
              <w:pStyle w:val="null3"/>
              <w:jc w:val="both"/>
            </w:pPr>
            <w:r>
              <w:rPr>
                <w:rFonts w:ascii="仿宋_GB2312" w:hAnsi="仿宋_GB2312" w:cs="仿宋_GB2312" w:eastAsia="仿宋_GB2312"/>
              </w:rPr>
              <w:t>(6)</w:t>
            </w:r>
            <w:r>
              <w:rPr>
                <w:rFonts w:ascii="仿宋_GB2312" w:hAnsi="仿宋_GB2312" w:cs="仿宋_GB2312" w:eastAsia="仿宋_GB2312"/>
              </w:rPr>
              <w:t>序号应以一份文件为单位编写，用阿拉伯数字从</w:t>
            </w:r>
            <w:r>
              <w:rPr>
                <w:rFonts w:ascii="仿宋_GB2312" w:hAnsi="仿宋_GB2312" w:cs="仿宋_GB2312" w:eastAsia="仿宋_GB2312"/>
              </w:rPr>
              <w:t>1</w:t>
            </w:r>
            <w:r>
              <w:rPr>
                <w:rFonts w:ascii="仿宋_GB2312" w:hAnsi="仿宋_GB2312" w:cs="仿宋_GB2312" w:eastAsia="仿宋_GB2312"/>
              </w:rPr>
              <w:t>依次标注；</w:t>
            </w:r>
          </w:p>
          <w:p>
            <w:pPr>
              <w:pStyle w:val="null3"/>
              <w:jc w:val="both"/>
            </w:pPr>
            <w:r>
              <w:rPr>
                <w:rFonts w:ascii="仿宋_GB2312" w:hAnsi="仿宋_GB2312" w:cs="仿宋_GB2312" w:eastAsia="仿宋_GB2312"/>
              </w:rPr>
              <w:t>(7)</w:t>
            </w:r>
            <w:r>
              <w:rPr>
                <w:rFonts w:ascii="仿宋_GB2312" w:hAnsi="仿宋_GB2312" w:cs="仿宋_GB2312" w:eastAsia="仿宋_GB2312"/>
              </w:rPr>
              <w:t>责任者应填写文件的直接形成单位或个人。有多个责任者时，应选择两个主要责任者，其余用</w:t>
            </w:r>
            <w:r>
              <w:rPr>
                <w:rFonts w:ascii="仿宋_GB2312" w:hAnsi="仿宋_GB2312" w:cs="仿宋_GB2312" w:eastAsia="仿宋_GB2312"/>
              </w:rPr>
              <w:t>“</w:t>
            </w:r>
            <w:r>
              <w:rPr>
                <w:rFonts w:ascii="仿宋_GB2312" w:hAnsi="仿宋_GB2312" w:cs="仿宋_GB2312" w:eastAsia="仿宋_GB2312"/>
              </w:rPr>
              <w:t>等</w:t>
            </w:r>
            <w:r>
              <w:rPr>
                <w:rFonts w:ascii="仿宋_GB2312" w:hAnsi="仿宋_GB2312" w:cs="仿宋_GB2312" w:eastAsia="仿宋_GB2312"/>
              </w:rPr>
              <w:t>”</w:t>
            </w:r>
            <w:r>
              <w:rPr>
                <w:rFonts w:ascii="仿宋_GB2312" w:hAnsi="仿宋_GB2312" w:cs="仿宋_GB2312" w:eastAsia="仿宋_GB2312"/>
              </w:rPr>
              <w:t>代替；</w:t>
            </w:r>
          </w:p>
          <w:p>
            <w:pPr>
              <w:pStyle w:val="null3"/>
              <w:jc w:val="both"/>
            </w:pPr>
            <w:r>
              <w:rPr>
                <w:rFonts w:ascii="仿宋_GB2312" w:hAnsi="仿宋_GB2312" w:cs="仿宋_GB2312" w:eastAsia="仿宋_GB2312"/>
              </w:rPr>
              <w:t>(8)</w:t>
            </w:r>
            <w:r>
              <w:rPr>
                <w:rFonts w:ascii="仿宋_GB2312" w:hAnsi="仿宋_GB2312" w:cs="仿宋_GB2312" w:eastAsia="仿宋_GB2312"/>
              </w:rPr>
              <w:t>文件编号应填写文件形成单位的发文号或图纸的图号；</w:t>
            </w:r>
          </w:p>
          <w:p>
            <w:pPr>
              <w:pStyle w:val="null3"/>
              <w:jc w:val="both"/>
            </w:pPr>
            <w:r>
              <w:rPr>
                <w:rFonts w:ascii="仿宋_GB2312" w:hAnsi="仿宋_GB2312" w:cs="仿宋_GB2312" w:eastAsia="仿宋_GB2312"/>
              </w:rPr>
              <w:t>(9)</w:t>
            </w:r>
            <w:r>
              <w:rPr>
                <w:rFonts w:ascii="仿宋_GB2312" w:hAnsi="仿宋_GB2312" w:cs="仿宋_GB2312" w:eastAsia="仿宋_GB2312"/>
              </w:rPr>
              <w:t>文件题名应填写文件标题的全称。当文件无标题时，应根据内容拟写标题，拟写标题外应加</w:t>
            </w:r>
            <w:r>
              <w:rPr>
                <w:rFonts w:ascii="仿宋_GB2312" w:hAnsi="仿宋_GB2312" w:cs="仿宋_GB2312" w:eastAsia="仿宋_GB2312"/>
              </w:rPr>
              <w:t>“</w:t>
            </w:r>
            <w:r>
              <w:rPr>
                <w:rFonts w:ascii="仿宋_GB2312" w:hAnsi="仿宋_GB2312" w:cs="仿宋_GB2312" w:eastAsia="仿宋_GB2312"/>
              </w:rPr>
              <w:t>［ ］</w:t>
            </w:r>
            <w:r>
              <w:rPr>
                <w:rFonts w:ascii="仿宋_GB2312" w:hAnsi="仿宋_GB2312" w:cs="仿宋_GB2312" w:eastAsia="仿宋_GB2312"/>
              </w:rPr>
              <w:t>”</w:t>
            </w:r>
            <w:r>
              <w:rPr>
                <w:rFonts w:ascii="仿宋_GB2312" w:hAnsi="仿宋_GB2312" w:cs="仿宋_GB2312" w:eastAsia="仿宋_GB2312"/>
              </w:rPr>
              <w:t>符号；</w:t>
            </w:r>
          </w:p>
          <w:p>
            <w:pPr>
              <w:pStyle w:val="null3"/>
              <w:jc w:val="both"/>
            </w:pPr>
            <w:r>
              <w:rPr>
                <w:rFonts w:ascii="仿宋_GB2312" w:hAnsi="仿宋_GB2312" w:cs="仿宋_GB2312" w:eastAsia="仿宋_GB2312"/>
              </w:rPr>
              <w:t>(10)</w:t>
            </w:r>
            <w:r>
              <w:rPr>
                <w:rFonts w:ascii="仿宋_GB2312" w:hAnsi="仿宋_GB2312" w:cs="仿宋_GB2312" w:eastAsia="仿宋_GB2312"/>
              </w:rPr>
              <w:t>日期应填写文件的形成日期或文件的起止日期，竣工图应填写编制日期。日期中</w:t>
            </w:r>
            <w:r>
              <w:rPr>
                <w:rFonts w:ascii="仿宋_GB2312" w:hAnsi="仿宋_GB2312" w:cs="仿宋_GB2312" w:eastAsia="仿宋_GB2312"/>
              </w:rPr>
              <w:t>“</w:t>
            </w:r>
            <w:r>
              <w:rPr>
                <w:rFonts w:ascii="仿宋_GB2312" w:hAnsi="仿宋_GB2312" w:cs="仿宋_GB2312" w:eastAsia="仿宋_GB2312"/>
              </w:rPr>
              <w:t>年</w:t>
            </w:r>
            <w:r>
              <w:rPr>
                <w:rFonts w:ascii="仿宋_GB2312" w:hAnsi="仿宋_GB2312" w:cs="仿宋_GB2312" w:eastAsia="仿宋_GB2312"/>
              </w:rPr>
              <w:t>”</w:t>
            </w:r>
            <w:r>
              <w:rPr>
                <w:rFonts w:ascii="仿宋_GB2312" w:hAnsi="仿宋_GB2312" w:cs="仿宋_GB2312" w:eastAsia="仿宋_GB2312"/>
              </w:rPr>
              <w:t>应用四位数字表示，</w:t>
            </w:r>
            <w:r>
              <w:rPr>
                <w:rFonts w:ascii="仿宋_GB2312" w:hAnsi="仿宋_GB2312" w:cs="仿宋_GB2312" w:eastAsia="仿宋_GB2312"/>
              </w:rPr>
              <w:t>“</w:t>
            </w:r>
            <w:r>
              <w:rPr>
                <w:rFonts w:ascii="仿宋_GB2312" w:hAnsi="仿宋_GB2312" w:cs="仿宋_GB2312" w:eastAsia="仿宋_GB2312"/>
              </w:rPr>
              <w:t>月</w:t>
            </w:r>
            <w:r>
              <w:rPr>
                <w:rFonts w:ascii="仿宋_GB2312" w:hAnsi="仿宋_GB2312" w:cs="仿宋_GB2312" w:eastAsia="仿宋_GB2312"/>
              </w:rPr>
              <w:t>”</w:t>
            </w:r>
            <w:r>
              <w:rPr>
                <w:rFonts w:ascii="仿宋_GB2312" w:hAnsi="仿宋_GB2312" w:cs="仿宋_GB2312" w:eastAsia="仿宋_GB2312"/>
              </w:rPr>
              <w:t>和</w:t>
            </w:r>
            <w:r>
              <w:rPr>
                <w:rFonts w:ascii="仿宋_GB2312" w:hAnsi="仿宋_GB2312" w:cs="仿宋_GB2312" w:eastAsia="仿宋_GB2312"/>
              </w:rPr>
              <w:t>“</w:t>
            </w:r>
            <w:r>
              <w:rPr>
                <w:rFonts w:ascii="仿宋_GB2312" w:hAnsi="仿宋_GB2312" w:cs="仿宋_GB2312" w:eastAsia="仿宋_GB2312"/>
              </w:rPr>
              <w:t>日</w:t>
            </w:r>
            <w:r>
              <w:rPr>
                <w:rFonts w:ascii="仿宋_GB2312" w:hAnsi="仿宋_GB2312" w:cs="仿宋_GB2312" w:eastAsia="仿宋_GB2312"/>
              </w:rPr>
              <w:t>”</w:t>
            </w:r>
            <w:r>
              <w:rPr>
                <w:rFonts w:ascii="仿宋_GB2312" w:hAnsi="仿宋_GB2312" w:cs="仿宋_GB2312" w:eastAsia="仿宋_GB2312"/>
              </w:rPr>
              <w:t>应分别用两位数字表示；</w:t>
            </w:r>
          </w:p>
          <w:p>
            <w:pPr>
              <w:pStyle w:val="null3"/>
              <w:jc w:val="both"/>
            </w:pPr>
            <w:r>
              <w:rPr>
                <w:rFonts w:ascii="仿宋_GB2312" w:hAnsi="仿宋_GB2312" w:cs="仿宋_GB2312" w:eastAsia="仿宋_GB2312"/>
              </w:rPr>
              <w:t>(11)</w:t>
            </w:r>
            <w:r>
              <w:rPr>
                <w:rFonts w:ascii="仿宋_GB2312" w:hAnsi="仿宋_GB2312" w:cs="仿宋_GB2312" w:eastAsia="仿宋_GB2312"/>
              </w:rPr>
              <w:t>页次应填写文件在卷内所排的起止页号。备注应填写需要说明的问题；</w:t>
            </w:r>
          </w:p>
          <w:p>
            <w:pPr>
              <w:pStyle w:val="null3"/>
              <w:jc w:val="both"/>
            </w:pPr>
            <w:r>
              <w:rPr>
                <w:rFonts w:ascii="仿宋_GB2312" w:hAnsi="仿宋_GB2312" w:cs="仿宋_GB2312" w:eastAsia="仿宋_GB2312"/>
              </w:rPr>
              <w:t>(12)</w:t>
            </w:r>
            <w:r>
              <w:rPr>
                <w:rFonts w:ascii="仿宋_GB2312" w:hAnsi="仿宋_GB2312" w:cs="仿宋_GB2312" w:eastAsia="仿宋_GB2312"/>
              </w:rPr>
              <w:t>卷内备考表应排列在卷内文件的尾页之后；</w:t>
            </w:r>
          </w:p>
          <w:p>
            <w:pPr>
              <w:pStyle w:val="null3"/>
              <w:jc w:val="both"/>
            </w:pPr>
            <w:r>
              <w:rPr>
                <w:rFonts w:ascii="仿宋_GB2312" w:hAnsi="仿宋_GB2312" w:cs="仿宋_GB2312" w:eastAsia="仿宋_GB2312"/>
              </w:rPr>
              <w:t>(13)</w:t>
            </w:r>
            <w:r>
              <w:rPr>
                <w:rFonts w:ascii="仿宋_GB2312" w:hAnsi="仿宋_GB2312" w:cs="仿宋_GB2312" w:eastAsia="仿宋_GB2312"/>
              </w:rPr>
              <w:t>卷内备考表应标明卷内文件的总页数、各类文件页数或照片张数及立卷单位对案卷情况的说明；主要说明卷内文件复印件情况、页码错误情况、文件的更换情况等；</w:t>
            </w:r>
          </w:p>
          <w:p>
            <w:pPr>
              <w:pStyle w:val="null3"/>
              <w:jc w:val="both"/>
            </w:pPr>
            <w:r>
              <w:rPr>
                <w:rFonts w:ascii="仿宋_GB2312" w:hAnsi="仿宋_GB2312" w:cs="仿宋_GB2312" w:eastAsia="仿宋_GB2312"/>
              </w:rPr>
              <w:t>(14)</w:t>
            </w:r>
            <w:r>
              <w:rPr>
                <w:rFonts w:ascii="仿宋_GB2312" w:hAnsi="仿宋_GB2312" w:cs="仿宋_GB2312" w:eastAsia="仿宋_GB2312"/>
              </w:rPr>
              <w:t>立卷人和审核人分别填写整理归档人员和归档文件审核人员，年、月、日应按立卷、审核时间填写；</w:t>
            </w:r>
          </w:p>
          <w:p>
            <w:pPr>
              <w:pStyle w:val="null3"/>
              <w:jc w:val="both"/>
            </w:pPr>
            <w:r>
              <w:rPr>
                <w:rFonts w:ascii="仿宋_GB2312" w:hAnsi="仿宋_GB2312" w:cs="仿宋_GB2312" w:eastAsia="仿宋_GB2312"/>
              </w:rPr>
              <w:t>(15)</w:t>
            </w:r>
            <w:r>
              <w:rPr>
                <w:rFonts w:ascii="仿宋_GB2312" w:hAnsi="仿宋_GB2312" w:cs="仿宋_GB2312" w:eastAsia="仿宋_GB2312"/>
              </w:rPr>
              <w:t>案卷封面采用内封面形式。案卷封面的内容应包括总卷号、案卷题名、编制单位、起止日期、密级、保管期限、本案卷所属案卷总量、本案卷在案卷总量中的排序；</w:t>
            </w:r>
          </w:p>
          <w:p>
            <w:pPr>
              <w:pStyle w:val="null3"/>
              <w:jc w:val="both"/>
            </w:pPr>
            <w:r>
              <w:rPr>
                <w:rFonts w:ascii="仿宋_GB2312" w:hAnsi="仿宋_GB2312" w:cs="仿宋_GB2312" w:eastAsia="仿宋_GB2312"/>
              </w:rPr>
              <w:t>(16)</w:t>
            </w:r>
            <w:r>
              <w:rPr>
                <w:rFonts w:ascii="仿宋_GB2312" w:hAnsi="仿宋_GB2312" w:cs="仿宋_GB2312" w:eastAsia="仿宋_GB2312"/>
              </w:rPr>
              <w:t>编制单位应填写案卷内文件的形成单位或主要责任者；</w:t>
            </w:r>
          </w:p>
          <w:p>
            <w:pPr>
              <w:pStyle w:val="null3"/>
              <w:jc w:val="both"/>
            </w:pPr>
            <w:r>
              <w:rPr>
                <w:rFonts w:ascii="仿宋_GB2312" w:hAnsi="仿宋_GB2312" w:cs="仿宋_GB2312" w:eastAsia="仿宋_GB2312"/>
              </w:rPr>
              <w:t>(17)</w:t>
            </w:r>
            <w:r>
              <w:rPr>
                <w:rFonts w:ascii="仿宋_GB2312" w:hAnsi="仿宋_GB2312" w:cs="仿宋_GB2312" w:eastAsia="仿宋_GB2312"/>
              </w:rPr>
              <w:t>起止日期应填写案卷内全部文件形成的起止日期。竣工图的开始形成日期为施工图设计日期，最后形成日期按竣工图的编制日期填写；</w:t>
            </w:r>
          </w:p>
          <w:p>
            <w:pPr>
              <w:pStyle w:val="null3"/>
              <w:jc w:val="both"/>
            </w:pPr>
            <w:r>
              <w:rPr>
                <w:rFonts w:ascii="仿宋_GB2312" w:hAnsi="仿宋_GB2312" w:cs="仿宋_GB2312" w:eastAsia="仿宋_GB2312"/>
              </w:rPr>
              <w:t>(18)</w:t>
            </w:r>
            <w:r>
              <w:rPr>
                <w:rFonts w:ascii="仿宋_GB2312" w:hAnsi="仿宋_GB2312" w:cs="仿宋_GB2312" w:eastAsia="仿宋_GB2312"/>
              </w:rPr>
              <w:t>业务类资料保管期限应根据卷内文件的保存价值在永久保管、长期保管、短期保管三种保管期限中选择划定；文书类资料保管期限分为永久、</w:t>
            </w:r>
            <w:r>
              <w:rPr>
                <w:rFonts w:ascii="仿宋_GB2312" w:hAnsi="仿宋_GB2312" w:cs="仿宋_GB2312" w:eastAsia="仿宋_GB2312"/>
              </w:rPr>
              <w:t>30</w:t>
            </w:r>
            <w:r>
              <w:rPr>
                <w:rFonts w:ascii="仿宋_GB2312" w:hAnsi="仿宋_GB2312" w:cs="仿宋_GB2312" w:eastAsia="仿宋_GB2312"/>
              </w:rPr>
              <w:t>年、</w:t>
            </w:r>
            <w:r>
              <w:rPr>
                <w:rFonts w:ascii="仿宋_GB2312" w:hAnsi="仿宋_GB2312" w:cs="仿宋_GB2312" w:eastAsia="仿宋_GB2312"/>
              </w:rPr>
              <w:t>10</w:t>
            </w:r>
            <w:r>
              <w:rPr>
                <w:rFonts w:ascii="仿宋_GB2312" w:hAnsi="仿宋_GB2312" w:cs="仿宋_GB2312" w:eastAsia="仿宋_GB2312"/>
              </w:rPr>
              <w:t>年，当同一案卷内有不同保管期限的文件时，该案卷保管期限应从长；</w:t>
            </w:r>
          </w:p>
          <w:p>
            <w:pPr>
              <w:pStyle w:val="null3"/>
              <w:jc w:val="both"/>
            </w:pPr>
            <w:r>
              <w:rPr>
                <w:rFonts w:ascii="仿宋_GB2312" w:hAnsi="仿宋_GB2312" w:cs="仿宋_GB2312" w:eastAsia="仿宋_GB2312"/>
              </w:rPr>
              <w:t>(19)</w:t>
            </w:r>
            <w:r>
              <w:rPr>
                <w:rFonts w:ascii="仿宋_GB2312" w:hAnsi="仿宋_GB2312" w:cs="仿宋_GB2312" w:eastAsia="仿宋_GB2312"/>
              </w:rPr>
              <w:t>密级应在绝密、机密、秘密三个级别中选择划定。不含涉密文件，且无相关定密法律依据的不填写密级；</w:t>
            </w:r>
          </w:p>
          <w:p>
            <w:pPr>
              <w:pStyle w:val="null3"/>
              <w:jc w:val="both"/>
            </w:pPr>
            <w:r>
              <w:rPr>
                <w:rFonts w:ascii="仿宋_GB2312" w:hAnsi="仿宋_GB2312" w:cs="仿宋_GB2312" w:eastAsia="仿宋_GB2312"/>
              </w:rPr>
              <w:t>(20)</w:t>
            </w:r>
            <w:r>
              <w:rPr>
                <w:rFonts w:ascii="仿宋_GB2312" w:hAnsi="仿宋_GB2312" w:cs="仿宋_GB2312" w:eastAsia="仿宋_GB2312"/>
              </w:rPr>
              <w:t>卷内目录、卷内备考表、案卷封面宜采用</w:t>
            </w:r>
            <w:r>
              <w:rPr>
                <w:rFonts w:ascii="仿宋_GB2312" w:hAnsi="仿宋_GB2312" w:cs="仿宋_GB2312" w:eastAsia="仿宋_GB2312"/>
              </w:rPr>
              <w:t>120g</w:t>
            </w:r>
            <w:r>
              <w:rPr>
                <w:rFonts w:ascii="仿宋_GB2312" w:hAnsi="仿宋_GB2312" w:cs="仿宋_GB2312" w:eastAsia="仿宋_GB2312"/>
              </w:rPr>
              <w:t>的白色书写纸制作，幅面应统一采用</w:t>
            </w:r>
            <w:r>
              <w:rPr>
                <w:rFonts w:ascii="仿宋_GB2312" w:hAnsi="仿宋_GB2312" w:cs="仿宋_GB2312" w:eastAsia="仿宋_GB2312"/>
              </w:rPr>
              <w:t>A4</w:t>
            </w:r>
            <w:r>
              <w:rPr>
                <w:rFonts w:ascii="仿宋_GB2312" w:hAnsi="仿宋_GB2312" w:cs="仿宋_GB2312" w:eastAsia="仿宋_GB2312"/>
              </w:rPr>
              <w:t>幅面；</w:t>
            </w:r>
          </w:p>
          <w:p>
            <w:pPr>
              <w:pStyle w:val="null3"/>
              <w:jc w:val="both"/>
            </w:pPr>
            <w:r>
              <w:rPr>
                <w:rFonts w:ascii="仿宋_GB2312" w:hAnsi="仿宋_GB2312" w:cs="仿宋_GB2312" w:eastAsia="仿宋_GB2312"/>
              </w:rPr>
              <w:t xml:space="preserve">1.4 </w:t>
            </w:r>
            <w:r>
              <w:rPr>
                <w:rFonts w:ascii="仿宋_GB2312" w:hAnsi="仿宋_GB2312" w:cs="仿宋_GB2312" w:eastAsia="仿宋_GB2312"/>
              </w:rPr>
              <w:t>案卷整理、装订与装具</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）去金属物、硬质封皮、彩页、空白页等不符合要求的材料；</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 xml:space="preserve">）对于幅面达不到 </w:t>
            </w:r>
            <w:r>
              <w:rPr>
                <w:rFonts w:ascii="仿宋_GB2312" w:hAnsi="仿宋_GB2312" w:cs="仿宋_GB2312" w:eastAsia="仿宋_GB2312"/>
              </w:rPr>
              <w:t>297×210</w:t>
            </w:r>
            <w:r>
              <w:rPr>
                <w:rFonts w:ascii="仿宋_GB2312" w:hAnsi="仿宋_GB2312" w:cs="仿宋_GB2312" w:eastAsia="仿宋_GB2312"/>
              </w:rPr>
              <w:t>（</w:t>
            </w:r>
            <w:r>
              <w:rPr>
                <w:rFonts w:ascii="仿宋_GB2312" w:hAnsi="仿宋_GB2312" w:cs="仿宋_GB2312" w:eastAsia="仿宋_GB2312"/>
              </w:rPr>
              <w:t>A4</w:t>
            </w:r>
            <w:r>
              <w:rPr>
                <w:rFonts w:ascii="仿宋_GB2312" w:hAnsi="仿宋_GB2312" w:cs="仿宋_GB2312" w:eastAsia="仿宋_GB2312"/>
              </w:rPr>
              <w:t>）或破损的档案材料均应托裱；</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）破损图纸的裱糊要求整齐，以尽量不破坏图纸内容、便于长期保存为原则。托裱时不宜使用有粮浆糊。</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）对于幅面大于</w:t>
            </w:r>
            <w:r>
              <w:rPr>
                <w:rFonts w:ascii="仿宋_GB2312" w:hAnsi="仿宋_GB2312" w:cs="仿宋_GB2312" w:eastAsia="仿宋_GB2312"/>
              </w:rPr>
              <w:t>297×210</w:t>
            </w:r>
            <w:r>
              <w:rPr>
                <w:rFonts w:ascii="仿宋_GB2312" w:hAnsi="仿宋_GB2312" w:cs="仿宋_GB2312" w:eastAsia="仿宋_GB2312"/>
              </w:rPr>
              <w:t>（</w:t>
            </w:r>
            <w:r>
              <w:rPr>
                <w:rFonts w:ascii="仿宋_GB2312" w:hAnsi="仿宋_GB2312" w:cs="仿宋_GB2312" w:eastAsia="仿宋_GB2312"/>
              </w:rPr>
              <w:t>A4</w:t>
            </w:r>
            <w:r>
              <w:rPr>
                <w:rFonts w:ascii="仿宋_GB2312" w:hAnsi="仿宋_GB2312" w:cs="仿宋_GB2312" w:eastAsia="仿宋_GB2312"/>
              </w:rPr>
              <w:t>）规格的档案材料均应折叠。按《技术制图复制图的折叠方法》（</w:t>
            </w:r>
            <w:r>
              <w:rPr>
                <w:rFonts w:ascii="仿宋_GB2312" w:hAnsi="仿宋_GB2312" w:cs="仿宋_GB2312" w:eastAsia="仿宋_GB2312"/>
              </w:rPr>
              <w:t>GB/10609.3—89</w:t>
            </w:r>
            <w:r>
              <w:rPr>
                <w:rFonts w:ascii="仿宋_GB2312" w:hAnsi="仿宋_GB2312" w:cs="仿宋_GB2312" w:eastAsia="仿宋_GB2312"/>
              </w:rPr>
              <w:t>）统一折叠成</w:t>
            </w:r>
            <w:r>
              <w:rPr>
                <w:rFonts w:ascii="仿宋_GB2312" w:hAnsi="仿宋_GB2312" w:cs="仿宋_GB2312" w:eastAsia="仿宋_GB2312"/>
              </w:rPr>
              <w:t>297×210</w:t>
            </w:r>
            <w:r>
              <w:rPr>
                <w:rFonts w:ascii="仿宋_GB2312" w:hAnsi="仿宋_GB2312" w:cs="仿宋_GB2312" w:eastAsia="仿宋_GB2312"/>
              </w:rPr>
              <w:t>㎜（</w:t>
            </w:r>
            <w:r>
              <w:rPr>
                <w:rFonts w:ascii="仿宋_GB2312" w:hAnsi="仿宋_GB2312" w:cs="仿宋_GB2312" w:eastAsia="仿宋_GB2312"/>
              </w:rPr>
              <w:t>A4</w:t>
            </w:r>
            <w:r>
              <w:rPr>
                <w:rFonts w:ascii="仿宋_GB2312" w:hAnsi="仿宋_GB2312" w:cs="仿宋_GB2312" w:eastAsia="仿宋_GB2312"/>
              </w:rPr>
              <w:t>）大小。对于边框不齐或破损的图纸，应把边框修补整齐后折叠。</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）文字材料必须装订</w:t>
            </w:r>
            <w:r>
              <w:rPr>
                <w:rFonts w:ascii="仿宋_GB2312" w:hAnsi="仿宋_GB2312" w:cs="仿宋_GB2312" w:eastAsia="仿宋_GB2312"/>
              </w:rPr>
              <w:t>,</w:t>
            </w:r>
            <w:r>
              <w:rPr>
                <w:rFonts w:ascii="仿宋_GB2312" w:hAnsi="仿宋_GB2312" w:cs="仿宋_GB2312" w:eastAsia="仿宋_GB2312"/>
              </w:rPr>
              <w:t>文字卷和图文混合卷必须装订，装订时不应破坏文件的内容，并应保持整齐、牢固，便于保管和利用；</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）图纸卷不装订，不留装订线位置。不装订时仍按要求填写卷皮、卷内目录和备考表，应与整理好的案卷一同装入斜角袋后装入卷盒；</w:t>
            </w:r>
          </w:p>
          <w:p>
            <w:pPr>
              <w:pStyle w:val="null3"/>
              <w:jc w:val="both"/>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）案卷采用三孔双线装订法。三个孔保持</w:t>
            </w:r>
            <w:r>
              <w:rPr>
                <w:rFonts w:ascii="仿宋_GB2312" w:hAnsi="仿宋_GB2312" w:cs="仿宋_GB2312" w:eastAsia="仿宋_GB2312"/>
              </w:rPr>
              <w:t>9cm</w:t>
            </w:r>
            <w:r>
              <w:rPr>
                <w:rFonts w:ascii="仿宋_GB2312" w:hAnsi="仿宋_GB2312" w:cs="仿宋_GB2312" w:eastAsia="仿宋_GB2312"/>
              </w:rPr>
              <w:t>间距，上下居中，三点一线，装订线在距案卷左边缘</w:t>
            </w:r>
            <w:r>
              <w:rPr>
                <w:rFonts w:ascii="仿宋_GB2312" w:hAnsi="仿宋_GB2312" w:cs="仿宋_GB2312" w:eastAsia="仿宋_GB2312"/>
              </w:rPr>
              <w:t>1</w:t>
            </w:r>
            <w:r>
              <w:rPr>
                <w:rFonts w:ascii="仿宋_GB2312" w:hAnsi="仿宋_GB2312" w:cs="仿宋_GB2312" w:eastAsia="仿宋_GB2312"/>
              </w:rPr>
              <w:t>至</w:t>
            </w:r>
            <w:r>
              <w:rPr>
                <w:rFonts w:ascii="仿宋_GB2312" w:hAnsi="仿宋_GB2312" w:cs="仿宋_GB2312" w:eastAsia="仿宋_GB2312"/>
              </w:rPr>
              <w:t>1.5</w:t>
            </w:r>
            <w:r>
              <w:rPr>
                <w:rFonts w:ascii="仿宋_GB2312" w:hAnsi="仿宋_GB2312" w:cs="仿宋_GB2312" w:eastAsia="仿宋_GB2312"/>
              </w:rPr>
              <w:t>㎝处，打直径为</w:t>
            </w:r>
            <w:r>
              <w:rPr>
                <w:rFonts w:ascii="仿宋_GB2312" w:hAnsi="仿宋_GB2312" w:cs="仿宋_GB2312" w:eastAsia="仿宋_GB2312"/>
              </w:rPr>
              <w:t>1-2</w:t>
            </w:r>
            <w:r>
              <w:rPr>
                <w:rFonts w:ascii="仿宋_GB2312" w:hAnsi="仿宋_GB2312" w:cs="仿宋_GB2312" w:eastAsia="仿宋_GB2312"/>
              </w:rPr>
              <w:t>㎜的小孔，用腊光线双线装订，结头打死结，位置在案卷背面中孔部位，余线长短与案卷左边平齐，砸平线疙瘩并劈开线缝，使双线平行；</w:t>
            </w:r>
          </w:p>
          <w:p>
            <w:pPr>
              <w:pStyle w:val="null3"/>
              <w:jc w:val="both"/>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）装订时若案卷左右不平，可在左侧加垫条，使案卷四周平整；</w:t>
            </w:r>
          </w:p>
          <w:p>
            <w:pPr>
              <w:pStyle w:val="null3"/>
              <w:jc w:val="both"/>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）装订好的案卷要求右边和下边平齐，四周厚度基本一致；</w:t>
            </w:r>
          </w:p>
          <w:p>
            <w:pPr>
              <w:pStyle w:val="null3"/>
              <w:jc w:val="both"/>
            </w:pP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）横写的材料，一律把文件头放在装订线一侧装订；</w:t>
            </w:r>
          </w:p>
          <w:p>
            <w:pPr>
              <w:pStyle w:val="null3"/>
              <w:jc w:val="both"/>
            </w:pPr>
            <w:r>
              <w:rPr>
                <w:rFonts w:ascii="仿宋_GB2312" w:hAnsi="仿宋_GB2312" w:cs="仿宋_GB2312" w:eastAsia="仿宋_GB2312"/>
              </w:rPr>
              <w:t>（</w:t>
            </w:r>
            <w:r>
              <w:rPr>
                <w:rFonts w:ascii="仿宋_GB2312" w:hAnsi="仿宋_GB2312" w:cs="仿宋_GB2312" w:eastAsia="仿宋_GB2312"/>
              </w:rPr>
              <w:t>11</w:t>
            </w:r>
            <w:r>
              <w:rPr>
                <w:rFonts w:ascii="仿宋_GB2312" w:hAnsi="仿宋_GB2312" w:cs="仿宋_GB2312" w:eastAsia="仿宋_GB2312"/>
              </w:rPr>
              <w:t>）案卷装具采用卷盒，外表尺寸为</w:t>
            </w:r>
            <w:r>
              <w:rPr>
                <w:rFonts w:ascii="仿宋_GB2312" w:hAnsi="仿宋_GB2312" w:cs="仿宋_GB2312" w:eastAsia="仿宋_GB2312"/>
              </w:rPr>
              <w:t>310mm×220mm</w:t>
            </w:r>
            <w:r>
              <w:rPr>
                <w:rFonts w:ascii="仿宋_GB2312" w:hAnsi="仿宋_GB2312" w:cs="仿宋_GB2312" w:eastAsia="仿宋_GB2312"/>
              </w:rPr>
              <w:t>，文字档案厚度为</w:t>
            </w:r>
            <w:r>
              <w:rPr>
                <w:rFonts w:ascii="仿宋_GB2312" w:hAnsi="仿宋_GB2312" w:cs="仿宋_GB2312" w:eastAsia="仿宋_GB2312"/>
              </w:rPr>
              <w:t>20mm</w:t>
            </w:r>
            <w:r>
              <w:rPr>
                <w:rFonts w:ascii="仿宋_GB2312" w:hAnsi="仿宋_GB2312" w:cs="仿宋_GB2312" w:eastAsia="仿宋_GB2312"/>
              </w:rPr>
              <w:t>，图纸档案厚度为</w:t>
            </w:r>
            <w:r>
              <w:rPr>
                <w:rFonts w:ascii="仿宋_GB2312" w:hAnsi="仿宋_GB2312" w:cs="仿宋_GB2312" w:eastAsia="仿宋_GB2312"/>
              </w:rPr>
              <w:t>40mm</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12</w:t>
            </w:r>
            <w:r>
              <w:rPr>
                <w:rFonts w:ascii="仿宋_GB2312" w:hAnsi="仿宋_GB2312" w:cs="仿宋_GB2312" w:eastAsia="仿宋_GB2312"/>
              </w:rPr>
              <w:t>）卷盒应采用优质无酸牛皮纸定制，以保证档案的长期保存和利用。</w:t>
            </w:r>
          </w:p>
          <w:p>
            <w:pPr>
              <w:pStyle w:val="null3"/>
              <w:jc w:val="both"/>
            </w:pPr>
            <w:r>
              <w:rPr>
                <w:rFonts w:ascii="仿宋_GB2312" w:hAnsi="仿宋_GB2312" w:cs="仿宋_GB2312" w:eastAsia="仿宋_GB2312"/>
              </w:rPr>
              <w:t>2</w:t>
            </w:r>
            <w:r>
              <w:rPr>
                <w:rFonts w:ascii="仿宋_GB2312" w:hAnsi="仿宋_GB2312" w:cs="仿宋_GB2312" w:eastAsia="仿宋_GB2312"/>
              </w:rPr>
              <w:t>、电子文件整理</w:t>
            </w:r>
          </w:p>
          <w:p>
            <w:pPr>
              <w:pStyle w:val="null3"/>
              <w:jc w:val="both"/>
            </w:pPr>
            <w:r>
              <w:rPr>
                <w:rFonts w:ascii="仿宋_GB2312" w:hAnsi="仿宋_GB2312" w:cs="仿宋_GB2312" w:eastAsia="仿宋_GB2312"/>
              </w:rPr>
              <w:t xml:space="preserve">2.1 </w:t>
            </w:r>
            <w:r>
              <w:rPr>
                <w:rFonts w:ascii="仿宋_GB2312" w:hAnsi="仿宋_GB2312" w:cs="仿宋_GB2312" w:eastAsia="仿宋_GB2312"/>
              </w:rPr>
              <w:t>电子文件扫描</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）电子文件是与纸质档案完全一致的扫描型电子文件，文件须为</w:t>
            </w:r>
            <w:r>
              <w:rPr>
                <w:rFonts w:ascii="仿宋_GB2312" w:hAnsi="仿宋_GB2312" w:cs="仿宋_GB2312" w:eastAsia="仿宋_GB2312"/>
              </w:rPr>
              <w:t xml:space="preserve">JPG </w:t>
            </w:r>
            <w:r>
              <w:rPr>
                <w:rFonts w:ascii="仿宋_GB2312" w:hAnsi="仿宋_GB2312" w:cs="仿宋_GB2312" w:eastAsia="仿宋_GB2312"/>
              </w:rPr>
              <w:t>格式。电子文件应包括元数据。</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）电子文件的分辨率须大于等于</w:t>
            </w:r>
            <w:r>
              <w:rPr>
                <w:rFonts w:ascii="仿宋_GB2312" w:hAnsi="仿宋_GB2312" w:cs="仿宋_GB2312" w:eastAsia="仿宋_GB2312"/>
              </w:rPr>
              <w:t>200DPI</w:t>
            </w:r>
            <w:r>
              <w:rPr>
                <w:rFonts w:ascii="仿宋_GB2312" w:hAnsi="仿宋_GB2312" w:cs="仿宋_GB2312" w:eastAsia="仿宋_GB2312"/>
              </w:rPr>
              <w:t>，彩色深度为</w:t>
            </w:r>
            <w:r>
              <w:rPr>
                <w:rFonts w:ascii="仿宋_GB2312" w:hAnsi="仿宋_GB2312" w:cs="仿宋_GB2312" w:eastAsia="仿宋_GB2312"/>
              </w:rPr>
              <w:t>24</w:t>
            </w:r>
            <w:r>
              <w:rPr>
                <w:rFonts w:ascii="仿宋_GB2312" w:hAnsi="仿宋_GB2312" w:cs="仿宋_GB2312" w:eastAsia="仿宋_GB2312"/>
              </w:rPr>
              <w:t>位，纸质原件为</w:t>
            </w:r>
            <w:r>
              <w:rPr>
                <w:rFonts w:ascii="仿宋_GB2312" w:hAnsi="仿宋_GB2312" w:cs="仿宋_GB2312" w:eastAsia="仿宋_GB2312"/>
              </w:rPr>
              <w:t>A4</w:t>
            </w:r>
            <w:r>
              <w:rPr>
                <w:rFonts w:ascii="仿宋_GB2312" w:hAnsi="仿宋_GB2312" w:cs="仿宋_GB2312" w:eastAsia="仿宋_GB2312"/>
              </w:rPr>
              <w:t>幅面的电子文件的存储容量一般不超过</w:t>
            </w:r>
            <w:r>
              <w:rPr>
                <w:rFonts w:ascii="仿宋_GB2312" w:hAnsi="仿宋_GB2312" w:cs="仿宋_GB2312" w:eastAsia="仿宋_GB2312"/>
              </w:rPr>
              <w:t>1MB</w:t>
            </w:r>
            <w:r>
              <w:rPr>
                <w:rFonts w:ascii="仿宋_GB2312" w:hAnsi="仿宋_GB2312" w:cs="仿宋_GB2312" w:eastAsia="仿宋_GB2312"/>
              </w:rPr>
              <w:t>，纸质原件大于</w:t>
            </w:r>
            <w:r>
              <w:rPr>
                <w:rFonts w:ascii="仿宋_GB2312" w:hAnsi="仿宋_GB2312" w:cs="仿宋_GB2312" w:eastAsia="仿宋_GB2312"/>
              </w:rPr>
              <w:t>A4</w:t>
            </w:r>
            <w:r>
              <w:rPr>
                <w:rFonts w:ascii="仿宋_GB2312" w:hAnsi="仿宋_GB2312" w:cs="仿宋_GB2312" w:eastAsia="仿宋_GB2312"/>
              </w:rPr>
              <w:t>幅面扫描件的存储容量一般不得超过</w:t>
            </w:r>
            <w:r>
              <w:rPr>
                <w:rFonts w:ascii="仿宋_GB2312" w:hAnsi="仿宋_GB2312" w:cs="仿宋_GB2312" w:eastAsia="仿宋_GB2312"/>
              </w:rPr>
              <w:t>5MB</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）电子文件须图像清晰、完整，无偏斜、无失真，按页码顺序排列。电子档案按照分类建立相应的文件夹，文件夹名著录为每类档案的名称，内含对应的打包文件。</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）须对扫描过程中出现的偏斜图像进行整体纠偏，保证图像内容偏斜角度小于</w:t>
            </w:r>
            <w:r>
              <w:rPr>
                <w:rFonts w:ascii="仿宋_GB2312" w:hAnsi="仿宋_GB2312" w:cs="仿宋_GB2312" w:eastAsia="仿宋_GB2312"/>
              </w:rPr>
              <w:t>1</w:t>
            </w:r>
            <w:r>
              <w:rPr>
                <w:rFonts w:ascii="仿宋_GB2312" w:hAnsi="仿宋_GB2312" w:cs="仿宋_GB2312" w:eastAsia="仿宋_GB2312"/>
              </w:rPr>
              <w:t>度（图像偏斜不超过页面内半个文字）。须去除图像页面中出现的影响图像质量的杂质（如黑边、多余边、污点等）。</w:t>
            </w:r>
          </w:p>
          <w:p>
            <w:pPr>
              <w:pStyle w:val="null3"/>
              <w:jc w:val="both"/>
            </w:pPr>
            <w:r>
              <w:rPr>
                <w:rFonts w:ascii="仿宋_GB2312" w:hAnsi="仿宋_GB2312" w:cs="仿宋_GB2312" w:eastAsia="仿宋_GB2312"/>
              </w:rPr>
              <w:t xml:space="preserve">2.2 </w:t>
            </w:r>
            <w:r>
              <w:rPr>
                <w:rFonts w:ascii="仿宋_GB2312" w:hAnsi="仿宋_GB2312" w:cs="仿宋_GB2312" w:eastAsia="仿宋_GB2312"/>
              </w:rPr>
              <w:t>电子文件的移交</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）电子文件通过单机版软件打包后以硬盘的形式移交。</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）确保移交的</w:t>
            </w:r>
            <w:r>
              <w:rPr>
                <w:rFonts w:ascii="仿宋_GB2312" w:hAnsi="仿宋_GB2312" w:cs="仿宋_GB2312" w:eastAsia="仿宋_GB2312"/>
              </w:rPr>
              <w:t>硬</w:t>
            </w:r>
            <w:r>
              <w:rPr>
                <w:rFonts w:ascii="仿宋_GB2312" w:hAnsi="仿宋_GB2312" w:cs="仿宋_GB2312" w:eastAsia="仿宋_GB2312"/>
              </w:rPr>
              <w:t>盘无病毒、无数据读写故障、能通过适当设备读出数据。</w:t>
            </w:r>
          </w:p>
          <w:p>
            <w:pPr>
              <w:pStyle w:val="null3"/>
              <w:jc w:val="both"/>
            </w:pPr>
            <w:r>
              <w:rPr>
                <w:rFonts w:ascii="仿宋_GB2312" w:hAnsi="仿宋_GB2312" w:cs="仿宋_GB2312" w:eastAsia="仿宋_GB2312"/>
              </w:rPr>
              <w:t xml:space="preserve">2.3 </w:t>
            </w:r>
            <w:r>
              <w:rPr>
                <w:rFonts w:ascii="仿宋_GB2312" w:hAnsi="仿宋_GB2312" w:cs="仿宋_GB2312" w:eastAsia="仿宋_GB2312"/>
              </w:rPr>
              <w:t>电子文件立卷</w:t>
            </w:r>
          </w:p>
          <w:p>
            <w:pPr>
              <w:pStyle w:val="null3"/>
              <w:jc w:val="both"/>
            </w:pPr>
            <w:r>
              <w:rPr>
                <w:rFonts w:ascii="仿宋_GB2312" w:hAnsi="仿宋_GB2312" w:cs="仿宋_GB2312" w:eastAsia="仿宋_GB2312"/>
              </w:rPr>
              <w:t>电子文件立卷时，每个项目应科学设计树形结构，建立多级文件夹，与纸质文件在案卷设置上一致，建立相应的标识关系，便于检索。</w:t>
            </w:r>
          </w:p>
          <w:p>
            <w:pPr>
              <w:pStyle w:val="null3"/>
              <w:jc w:val="both"/>
            </w:pPr>
            <w:r>
              <w:rPr>
                <w:rFonts w:ascii="仿宋_GB2312" w:hAnsi="仿宋_GB2312" w:cs="仿宋_GB2312" w:eastAsia="仿宋_GB2312"/>
              </w:rPr>
              <w:t>(</w:t>
            </w:r>
            <w:r>
              <w:rPr>
                <w:rFonts w:ascii="仿宋_GB2312" w:hAnsi="仿宋_GB2312" w:cs="仿宋_GB2312" w:eastAsia="仿宋_GB2312"/>
              </w:rPr>
              <w:t>五</w:t>
            </w:r>
            <w:r>
              <w:rPr>
                <w:rFonts w:ascii="仿宋_GB2312" w:hAnsi="仿宋_GB2312" w:cs="仿宋_GB2312" w:eastAsia="仿宋_GB2312"/>
              </w:rPr>
              <w:t>)</w:t>
            </w:r>
            <w:r>
              <w:rPr>
                <w:rFonts w:ascii="仿宋_GB2312" w:hAnsi="仿宋_GB2312" w:cs="仿宋_GB2312" w:eastAsia="仿宋_GB2312"/>
              </w:rPr>
              <w:t>验收</w:t>
            </w:r>
          </w:p>
          <w:p>
            <w:pPr>
              <w:pStyle w:val="null3"/>
              <w:jc w:val="both"/>
            </w:pPr>
            <w:r>
              <w:rPr>
                <w:rFonts w:ascii="仿宋_GB2312" w:hAnsi="仿宋_GB2312" w:cs="仿宋_GB2312" w:eastAsia="仿宋_GB2312"/>
              </w:rPr>
              <w:t>1</w:t>
            </w:r>
            <w:r>
              <w:rPr>
                <w:rFonts w:ascii="仿宋_GB2312" w:hAnsi="仿宋_GB2312" w:cs="仿宋_GB2312" w:eastAsia="仿宋_GB2312"/>
              </w:rPr>
              <w:t>、档案分类整理及装订</w:t>
            </w:r>
          </w:p>
          <w:p>
            <w:pPr>
              <w:pStyle w:val="null3"/>
              <w:jc w:val="both"/>
            </w:pPr>
            <w:r>
              <w:rPr>
                <w:rFonts w:ascii="仿宋_GB2312" w:hAnsi="仿宋_GB2312" w:cs="仿宋_GB2312" w:eastAsia="仿宋_GB2312"/>
              </w:rPr>
              <w:t>参照《建设工程文件归档规范》（</w:t>
            </w:r>
            <w:r>
              <w:rPr>
                <w:rFonts w:ascii="仿宋_GB2312" w:hAnsi="仿宋_GB2312" w:cs="仿宋_GB2312" w:eastAsia="仿宋_GB2312"/>
              </w:rPr>
              <w:t>GB/T 50328-2014</w:t>
            </w:r>
            <w:r>
              <w:rPr>
                <w:rFonts w:ascii="仿宋_GB2312" w:hAnsi="仿宋_GB2312" w:cs="仿宋_GB2312" w:eastAsia="仿宋_GB2312"/>
              </w:rPr>
              <w:t>）、《城建档案业务管理规范</w:t>
            </w:r>
            <w:r>
              <w:rPr>
                <w:rFonts w:ascii="仿宋_GB2312" w:hAnsi="仿宋_GB2312" w:cs="仿宋_GB2312" w:eastAsia="仿宋_GB2312"/>
              </w:rPr>
              <w:t>CJJ/T 158-2001</w:t>
            </w:r>
            <w:r>
              <w:rPr>
                <w:rFonts w:ascii="仿宋_GB2312" w:hAnsi="仿宋_GB2312" w:cs="仿宋_GB2312" w:eastAsia="仿宋_GB2312"/>
              </w:rPr>
              <w:t>》、《归档文件整理规则》</w:t>
            </w:r>
            <w:r>
              <w:rPr>
                <w:rFonts w:ascii="仿宋_GB2312" w:hAnsi="仿宋_GB2312" w:cs="仿宋_GB2312" w:eastAsia="仿宋_GB2312"/>
              </w:rPr>
              <w:t>DA/T22-2015</w:t>
            </w:r>
            <w:r>
              <w:rPr>
                <w:rFonts w:ascii="仿宋_GB2312" w:hAnsi="仿宋_GB2312" w:cs="仿宋_GB2312" w:eastAsia="仿宋_GB2312"/>
              </w:rPr>
              <w:t>等技术标准及西安市城建档案馆相关管理规定执行。</w:t>
            </w:r>
          </w:p>
          <w:p>
            <w:pPr>
              <w:pStyle w:val="null3"/>
              <w:jc w:val="both"/>
            </w:pPr>
            <w:r>
              <w:rPr>
                <w:rFonts w:ascii="仿宋_GB2312" w:hAnsi="仿宋_GB2312" w:cs="仿宋_GB2312" w:eastAsia="仿宋_GB2312"/>
              </w:rPr>
              <w:t>2</w:t>
            </w:r>
            <w:r>
              <w:rPr>
                <w:rFonts w:ascii="仿宋_GB2312" w:hAnsi="仿宋_GB2312" w:cs="仿宋_GB2312" w:eastAsia="仿宋_GB2312"/>
              </w:rPr>
              <w:t>、档案著录</w:t>
            </w:r>
          </w:p>
          <w:p>
            <w:pPr>
              <w:pStyle w:val="null3"/>
              <w:jc w:val="both"/>
            </w:pPr>
            <w:r>
              <w:rPr>
                <w:rFonts w:ascii="仿宋_GB2312" w:hAnsi="仿宋_GB2312" w:cs="仿宋_GB2312" w:eastAsia="仿宋_GB2312"/>
              </w:rPr>
              <w:t>按照</w:t>
            </w:r>
            <w:r>
              <w:rPr>
                <w:rFonts w:ascii="仿宋_GB2312" w:hAnsi="仿宋_GB2312" w:cs="仿宋_GB2312" w:eastAsia="仿宋_GB2312"/>
              </w:rPr>
              <w:t>“</w:t>
            </w:r>
            <w:r>
              <w:rPr>
                <w:rFonts w:ascii="仿宋_GB2312" w:hAnsi="仿宋_GB2312" w:cs="仿宋_GB2312" w:eastAsia="仿宋_GB2312"/>
              </w:rPr>
              <w:t>数据质量管理执行标准</w:t>
            </w:r>
            <w:r>
              <w:rPr>
                <w:rFonts w:ascii="仿宋_GB2312" w:hAnsi="仿宋_GB2312" w:cs="仿宋_GB2312" w:eastAsia="仿宋_GB2312"/>
              </w:rPr>
              <w:t>”</w:t>
            </w:r>
            <w:r>
              <w:rPr>
                <w:rFonts w:ascii="仿宋_GB2312" w:hAnsi="仿宋_GB2312" w:cs="仿宋_GB2312" w:eastAsia="仿宋_GB2312"/>
              </w:rPr>
              <w:t>等的要求，著录录入文件级条目数据项内容，目录信息结构按西安市城建档案馆系统管理设置为准，不得遗漏规定的数据项，确保著录录入目录信息的真实、完整、正确。</w:t>
            </w:r>
          </w:p>
          <w:p>
            <w:pPr>
              <w:pStyle w:val="null3"/>
              <w:jc w:val="both"/>
            </w:pPr>
            <w:r>
              <w:rPr>
                <w:rFonts w:ascii="仿宋_GB2312" w:hAnsi="仿宋_GB2312" w:cs="仿宋_GB2312" w:eastAsia="仿宋_GB2312"/>
              </w:rPr>
              <w:t>3</w:t>
            </w:r>
            <w:r>
              <w:rPr>
                <w:rFonts w:ascii="仿宋_GB2312" w:hAnsi="仿宋_GB2312" w:cs="仿宋_GB2312" w:eastAsia="仿宋_GB2312"/>
              </w:rPr>
              <w:t>、档案扫描</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）扫描主要技术参数设置：质量须达到现行《西安市建设工程电子档案归档与管理规定》要求，服务商须保证纸质档案与电子档案的一一对应，如果在扫描中发现问题须及时纠正。扫描格式及质量须参照下表：</w:t>
            </w:r>
          </w:p>
          <w:tbl>
            <w:tblPr>
              <w:tblInd w:type="dxa" w:w="120"/>
              <w:tblBorders>
                <w:top w:val="none" w:color="000000" w:sz="4"/>
                <w:left w:val="none" w:color="000000" w:sz="4"/>
                <w:bottom w:val="none" w:color="000000" w:sz="4"/>
                <w:right w:val="none" w:color="000000" w:sz="4"/>
                <w:insideH w:val="none"/>
                <w:insideV w:val="none"/>
              </w:tblBorders>
            </w:tblPr>
            <w:tblGrid>
              <w:gridCol w:w="505"/>
              <w:gridCol w:w="587"/>
              <w:gridCol w:w="487"/>
              <w:gridCol w:w="470"/>
              <w:gridCol w:w="505"/>
            </w:tblGrid>
            <w:tr>
              <w:tc>
                <w:tcPr>
                  <w:tcW w:type="dxa" w:w="5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扫描类型</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颜色模式</w:t>
                  </w:r>
                </w:p>
              </w:tc>
              <w:tc>
                <w:tcPr>
                  <w:tcW w:type="dxa" w:w="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分辨率</w:t>
                  </w:r>
                </w:p>
              </w:tc>
              <w:tc>
                <w:tcPr>
                  <w:tcW w:type="dxa" w:w="4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质量</w:t>
                  </w:r>
                </w:p>
              </w:tc>
              <w:tc>
                <w:tcPr>
                  <w:tcW w:type="dxa" w:w="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扫描格式</w:t>
                  </w: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图纸</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RGB-24bit</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JPEG</w:t>
                  </w: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A4，A3</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JPEG</w:t>
                  </w: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A4</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JPEG</w:t>
                  </w:r>
                </w:p>
              </w:tc>
            </w:tr>
          </w:tbl>
          <w:p>
            <w:pPr>
              <w:pStyle w:val="null3"/>
              <w:jc w:val="both"/>
            </w:pPr>
            <w:r>
              <w:rPr>
                <w:rFonts w:ascii="仿宋_GB2312" w:hAnsi="仿宋_GB2312" w:cs="仿宋_GB2312" w:eastAsia="仿宋_GB2312"/>
              </w:rPr>
              <w:t>案卷中出现字迹较小、较密集等情况，可将分辨率提高到</w:t>
            </w:r>
            <w:r>
              <w:rPr>
                <w:rFonts w:ascii="仿宋_GB2312" w:hAnsi="仿宋_GB2312" w:cs="仿宋_GB2312" w:eastAsia="仿宋_GB2312"/>
              </w:rPr>
              <w:t>300dpi</w:t>
            </w:r>
            <w:r>
              <w:rPr>
                <w:rFonts w:ascii="仿宋_GB2312" w:hAnsi="仿宋_GB2312" w:cs="仿宋_GB2312" w:eastAsia="仿宋_GB2312"/>
              </w:rPr>
              <w:t>以上。根据纸张质地、底色、薄厚程度等因素，设置最佳的扫描明暗度、对比度，保证原始扫描图像效果与原件吻合。</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）采用最为可靠的扫描设备和扫描方式完成档案扫描，避免纸张褶皱、撕裂等情况的发生。</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）图像处理：遵循保持档案原貌、不影响档案内容读懂度的原则。对扫描图像页面进行纠偏纠斜、去黑边等去污处理。</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）扫描图像与实体档案的对应：扫描图像与实体档案应一一对应。</w:t>
            </w:r>
          </w:p>
          <w:p>
            <w:pPr>
              <w:pStyle w:val="null3"/>
              <w:jc w:val="both"/>
            </w:pPr>
            <w:r>
              <w:rPr>
                <w:rFonts w:ascii="仿宋_GB2312" w:hAnsi="仿宋_GB2312" w:cs="仿宋_GB2312" w:eastAsia="仿宋_GB2312"/>
              </w:rPr>
              <w:t>4</w:t>
            </w:r>
            <w:r>
              <w:rPr>
                <w:rFonts w:ascii="仿宋_GB2312" w:hAnsi="仿宋_GB2312" w:cs="仿宋_GB2312" w:eastAsia="仿宋_GB2312"/>
              </w:rPr>
              <w:t>、数据质量</w:t>
            </w:r>
          </w:p>
          <w:p>
            <w:pPr>
              <w:pStyle w:val="null3"/>
              <w:jc w:val="both"/>
            </w:pPr>
            <w:r>
              <w:rPr>
                <w:rFonts w:ascii="仿宋_GB2312" w:hAnsi="仿宋_GB2312" w:cs="仿宋_GB2312" w:eastAsia="仿宋_GB2312"/>
              </w:rPr>
              <w:t>所加工数据结构、格式符合采购人要求，建立图像和目录数据库，并将扫描的档案图像与目录数据建立一一对应关系进行挂接，确保加工数据能够正确、真实、完整、准确地导入采购人现有档案管理系统中并确保数据运行正常。</w:t>
            </w:r>
          </w:p>
          <w:p>
            <w:pPr>
              <w:pStyle w:val="null3"/>
              <w:jc w:val="both"/>
            </w:pPr>
            <w:r>
              <w:rPr>
                <w:rFonts w:ascii="仿宋_GB2312" w:hAnsi="仿宋_GB2312" w:cs="仿宋_GB2312" w:eastAsia="仿宋_GB2312"/>
              </w:rPr>
              <w:t>5.</w:t>
            </w:r>
            <w:r>
              <w:rPr>
                <w:rFonts w:ascii="仿宋_GB2312" w:hAnsi="仿宋_GB2312" w:cs="仿宋_GB2312" w:eastAsia="仿宋_GB2312"/>
              </w:rPr>
              <w:t>质量检验</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）供应商自检：供应商提供完整的数据质量检验方案，各环节配备一定数量检验人员对加工的数据进行质量检验。</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）采购人抽检：采购人对供应商质检后的目录数据进行抽检，抽检率不低于</w:t>
            </w:r>
            <w:r>
              <w:rPr>
                <w:rFonts w:ascii="仿宋_GB2312" w:hAnsi="仿宋_GB2312" w:cs="仿宋_GB2312" w:eastAsia="仿宋_GB2312"/>
              </w:rPr>
              <w:t>5%</w:t>
            </w:r>
            <w:r>
              <w:rPr>
                <w:rFonts w:ascii="仿宋_GB2312" w:hAnsi="仿宋_GB2312" w:cs="仿宋_GB2312" w:eastAsia="仿宋_GB2312"/>
              </w:rPr>
              <w:t>，被抽检的目录数据中规定的必录数据项正确率大于</w:t>
            </w:r>
            <w:r>
              <w:rPr>
                <w:rFonts w:ascii="仿宋_GB2312" w:hAnsi="仿宋_GB2312" w:cs="仿宋_GB2312" w:eastAsia="仿宋_GB2312"/>
              </w:rPr>
              <w:t>95%</w:t>
            </w:r>
            <w:r>
              <w:rPr>
                <w:rFonts w:ascii="仿宋_GB2312" w:hAnsi="仿宋_GB2312" w:cs="仿宋_GB2312" w:eastAsia="仿宋_GB2312"/>
              </w:rPr>
              <w:t>，抽检的目录与扫描图像一一对应关系的合格率必须大于</w:t>
            </w:r>
            <w:r>
              <w:rPr>
                <w:rFonts w:ascii="仿宋_GB2312" w:hAnsi="仿宋_GB2312" w:cs="仿宋_GB2312" w:eastAsia="仿宋_GB2312"/>
              </w:rPr>
              <w:t>95%</w:t>
            </w:r>
            <w:r>
              <w:rPr>
                <w:rFonts w:ascii="仿宋_GB2312" w:hAnsi="仿宋_GB2312" w:cs="仿宋_GB2312" w:eastAsia="仿宋_GB2312"/>
              </w:rPr>
              <w:t>；对供应商质检后的扫描图像进行抽检，图像质量合格率必须大于</w:t>
            </w:r>
            <w:r>
              <w:rPr>
                <w:rFonts w:ascii="仿宋_GB2312" w:hAnsi="仿宋_GB2312" w:cs="仿宋_GB2312" w:eastAsia="仿宋_GB2312"/>
              </w:rPr>
              <w:t>95%</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）电子数据移交：服务结束后移交一式两份全部数据备份，其中硬盘一份、数据库一份。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）供应商应将档案电子化加工成果相关的各种工作文件、日志、记录、元数据等一并移交给采购人。</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人员设备及管理要求</w:t>
            </w:r>
          </w:p>
          <w:p>
            <w:pPr>
              <w:pStyle w:val="null3"/>
              <w:jc w:val="both"/>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为保证采购人物业服务质量及要求，供应商需配备专业的服务团队。</w:t>
            </w:r>
          </w:p>
          <w:p>
            <w:pPr>
              <w:pStyle w:val="null3"/>
              <w:jc w:val="both"/>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人员需求及要求</w:t>
            </w:r>
          </w:p>
          <w:p>
            <w:pPr>
              <w:pStyle w:val="null3"/>
              <w:jc w:val="both"/>
            </w:pPr>
            <w:r>
              <w:rPr>
                <w:rFonts w:ascii="仿宋_GB2312" w:hAnsi="仿宋_GB2312" w:cs="仿宋_GB2312" w:eastAsia="仿宋_GB2312"/>
              </w:rPr>
              <w:t>服务商要配备熟练的加工人员不少于</w:t>
            </w:r>
            <w:r>
              <w:rPr>
                <w:rFonts w:ascii="仿宋_GB2312" w:hAnsi="仿宋_GB2312" w:cs="仿宋_GB2312" w:eastAsia="仿宋_GB2312"/>
              </w:rPr>
              <w:t>20</w:t>
            </w:r>
            <w:r>
              <w:rPr>
                <w:rFonts w:ascii="仿宋_GB2312" w:hAnsi="仿宋_GB2312" w:cs="仿宋_GB2312" w:eastAsia="仿宋_GB2312"/>
              </w:rPr>
              <w:t>人。为确保档案整理、著录录入的正确性及数字化扫描的质量，要求配备</w:t>
            </w:r>
            <w:r>
              <w:rPr>
                <w:rFonts w:ascii="仿宋_GB2312" w:hAnsi="仿宋_GB2312" w:cs="仿宋_GB2312" w:eastAsia="仿宋_GB2312"/>
              </w:rPr>
              <w:t>1</w:t>
            </w:r>
            <w:r>
              <w:rPr>
                <w:rFonts w:ascii="仿宋_GB2312" w:hAnsi="仿宋_GB2312" w:cs="仿宋_GB2312" w:eastAsia="仿宋_GB2312"/>
              </w:rPr>
              <w:t>人负责档案的领取、登记以及核算工作，</w:t>
            </w:r>
          </w:p>
          <w:p>
            <w:pPr>
              <w:pStyle w:val="null3"/>
              <w:jc w:val="both"/>
            </w:pPr>
            <w:r>
              <w:rPr>
                <w:rFonts w:ascii="仿宋_GB2312" w:hAnsi="仿宋_GB2312" w:cs="仿宋_GB2312" w:eastAsia="仿宋_GB2312"/>
              </w:rPr>
              <w:t>熟练的档案整理人员不得少于</w:t>
            </w:r>
            <w:r>
              <w:rPr>
                <w:rFonts w:ascii="仿宋_GB2312" w:hAnsi="仿宋_GB2312" w:cs="仿宋_GB2312" w:eastAsia="仿宋_GB2312"/>
              </w:rPr>
              <w:t>9</w:t>
            </w:r>
            <w:r>
              <w:rPr>
                <w:rFonts w:ascii="仿宋_GB2312" w:hAnsi="仿宋_GB2312" w:cs="仿宋_GB2312" w:eastAsia="仿宋_GB2312"/>
              </w:rPr>
              <w:t>人，扫描人员不少于</w:t>
            </w:r>
            <w:r>
              <w:rPr>
                <w:rFonts w:ascii="仿宋_GB2312" w:hAnsi="仿宋_GB2312" w:cs="仿宋_GB2312" w:eastAsia="仿宋_GB2312"/>
              </w:rPr>
              <w:t>6</w:t>
            </w:r>
            <w:r>
              <w:rPr>
                <w:rFonts w:ascii="仿宋_GB2312" w:hAnsi="仿宋_GB2312" w:cs="仿宋_GB2312" w:eastAsia="仿宋_GB2312"/>
              </w:rPr>
              <w:t>人，目录数据质量检验人员不少于</w:t>
            </w:r>
            <w:r>
              <w:rPr>
                <w:rFonts w:ascii="仿宋_GB2312" w:hAnsi="仿宋_GB2312" w:cs="仿宋_GB2312" w:eastAsia="仿宋_GB2312"/>
              </w:rPr>
              <w:t>2</w:t>
            </w:r>
            <w:r>
              <w:rPr>
                <w:rFonts w:ascii="仿宋_GB2312" w:hAnsi="仿宋_GB2312" w:cs="仿宋_GB2312" w:eastAsia="仿宋_GB2312"/>
              </w:rPr>
              <w:t>人。服务商需另配备</w:t>
            </w:r>
            <w:r>
              <w:rPr>
                <w:rFonts w:ascii="仿宋_GB2312" w:hAnsi="仿宋_GB2312" w:cs="仿宋_GB2312" w:eastAsia="仿宋_GB2312"/>
              </w:rPr>
              <w:t>2</w:t>
            </w:r>
            <w:r>
              <w:rPr>
                <w:rFonts w:ascii="仿宋_GB2312" w:hAnsi="仿宋_GB2312" w:cs="仿宋_GB2312" w:eastAsia="仿宋_GB2312"/>
              </w:rPr>
              <w:t>人驻场提供随时修订服务，工作场地由采购人指定，扫描过程中采购人发现电子化扫描件有问题，服务商需随时修订。服务商工作人员要具备相应知识水平和业务技能，工作团队要有一定的稳定性。工作人员进行不少于</w:t>
            </w:r>
            <w:r>
              <w:rPr>
                <w:rFonts w:ascii="仿宋_GB2312" w:hAnsi="仿宋_GB2312" w:cs="仿宋_GB2312" w:eastAsia="仿宋_GB2312"/>
              </w:rPr>
              <w:t>5</w:t>
            </w:r>
            <w:r>
              <w:rPr>
                <w:rFonts w:ascii="仿宋_GB2312" w:hAnsi="仿宋_GB2312" w:cs="仿宋_GB2312" w:eastAsia="仿宋_GB2312"/>
              </w:rPr>
              <w:t>天的操作培训，经考核合格后方可正式上岗。在工作场所要规范人员行为和着装。</w:t>
            </w:r>
          </w:p>
          <w:p>
            <w:pPr>
              <w:pStyle w:val="null3"/>
              <w:jc w:val="both"/>
            </w:pPr>
            <w:r>
              <w:rPr>
                <w:rFonts w:ascii="仿宋_GB2312" w:hAnsi="仿宋_GB2312" w:cs="仿宋_GB2312" w:eastAsia="仿宋_GB2312"/>
              </w:rPr>
              <w:t>为方便统一管理，服务商人员工作时间和采购人人员工作时间要保持一致，若服务商遇到需加班的特殊情况，服务商要向采购人提出申请，征得采购人同意后方可安排加班。</w:t>
            </w:r>
          </w:p>
          <w:p>
            <w:pPr>
              <w:pStyle w:val="null3"/>
              <w:jc w:val="both"/>
            </w:pPr>
            <w:r>
              <w:rPr>
                <w:rFonts w:ascii="仿宋_GB2312" w:hAnsi="仿宋_GB2312" w:cs="仿宋_GB2312" w:eastAsia="仿宋_GB2312"/>
              </w:rPr>
              <w:t>（三）软硬件设备配置及管理</w:t>
            </w:r>
          </w:p>
          <w:p>
            <w:pPr>
              <w:pStyle w:val="null3"/>
              <w:jc w:val="both"/>
            </w:pPr>
            <w:r>
              <w:rPr>
                <w:rFonts w:ascii="仿宋_GB2312" w:hAnsi="仿宋_GB2312" w:cs="仿宋_GB2312" w:eastAsia="仿宋_GB2312"/>
              </w:rPr>
              <w:t>服务商应为专门从事档案整理、数字化加工建设的专业公司，具备档案数字化加工所必须的专业技术和相应的软硬件设备。要配备不少于</w:t>
            </w:r>
            <w:r>
              <w:rPr>
                <w:rFonts w:ascii="仿宋_GB2312" w:hAnsi="仿宋_GB2312" w:cs="仿宋_GB2312" w:eastAsia="仿宋_GB2312"/>
              </w:rPr>
              <w:t>3</w:t>
            </w:r>
            <w:r>
              <w:rPr>
                <w:rFonts w:ascii="仿宋_GB2312" w:hAnsi="仿宋_GB2312" w:cs="仿宋_GB2312" w:eastAsia="仿宋_GB2312"/>
              </w:rPr>
              <w:t>台</w:t>
            </w:r>
            <w:r>
              <w:rPr>
                <w:rFonts w:ascii="仿宋_GB2312" w:hAnsi="仿宋_GB2312" w:cs="仿宋_GB2312" w:eastAsia="仿宋_GB2312"/>
              </w:rPr>
              <w:t>A</w:t>
            </w:r>
            <w:r>
              <w:rPr>
                <w:rFonts w:ascii="仿宋_GB2312" w:hAnsi="仿宋_GB2312" w:cs="仿宋_GB2312" w:eastAsia="仿宋_GB2312"/>
              </w:rPr>
              <w:t>4</w:t>
            </w:r>
            <w:r>
              <w:rPr>
                <w:rFonts w:ascii="仿宋_GB2312" w:hAnsi="仿宋_GB2312" w:cs="仿宋_GB2312" w:eastAsia="仿宋_GB2312"/>
              </w:rPr>
              <w:t>幅面的高速扫描仪、不少于</w:t>
            </w:r>
            <w:r>
              <w:rPr>
                <w:rFonts w:ascii="仿宋_GB2312" w:hAnsi="仿宋_GB2312" w:cs="仿宋_GB2312" w:eastAsia="仿宋_GB2312"/>
              </w:rPr>
              <w:t>2</w:t>
            </w:r>
            <w:r>
              <w:rPr>
                <w:rFonts w:ascii="仿宋_GB2312" w:hAnsi="仿宋_GB2312" w:cs="仿宋_GB2312" w:eastAsia="仿宋_GB2312"/>
              </w:rPr>
              <w:t>台</w:t>
            </w:r>
            <w:r>
              <w:rPr>
                <w:rFonts w:ascii="仿宋_GB2312" w:hAnsi="仿宋_GB2312" w:cs="仿宋_GB2312" w:eastAsia="仿宋_GB2312"/>
              </w:rPr>
              <w:t>A3</w:t>
            </w:r>
            <w:r>
              <w:rPr>
                <w:rFonts w:ascii="仿宋_GB2312" w:hAnsi="仿宋_GB2312" w:cs="仿宋_GB2312" w:eastAsia="仿宋_GB2312"/>
              </w:rPr>
              <w:t>幅面的平面高速扫描仪、不少于</w:t>
            </w:r>
            <w:r>
              <w:rPr>
                <w:rFonts w:ascii="仿宋_GB2312" w:hAnsi="仿宋_GB2312" w:cs="仿宋_GB2312" w:eastAsia="仿宋_GB2312"/>
              </w:rPr>
              <w:t>1</w:t>
            </w:r>
            <w:r>
              <w:rPr>
                <w:rFonts w:ascii="仿宋_GB2312" w:hAnsi="仿宋_GB2312" w:cs="仿宋_GB2312" w:eastAsia="仿宋_GB2312"/>
              </w:rPr>
              <w:t>台</w:t>
            </w:r>
            <w:r>
              <w:rPr>
                <w:rFonts w:ascii="仿宋_GB2312" w:hAnsi="仿宋_GB2312" w:cs="仿宋_GB2312" w:eastAsia="仿宋_GB2312"/>
              </w:rPr>
              <w:t>A0</w:t>
            </w:r>
            <w:r>
              <w:rPr>
                <w:rFonts w:ascii="仿宋_GB2312" w:hAnsi="仿宋_GB2312" w:cs="仿宋_GB2312" w:eastAsia="仿宋_GB2312"/>
              </w:rPr>
              <w:t>工程扫描仪、配足满足工作需要的计算机（含计算机桌椅）</w:t>
            </w:r>
            <w:r>
              <w:rPr>
                <w:rFonts w:ascii="仿宋_GB2312" w:hAnsi="仿宋_GB2312" w:cs="仿宋_GB2312" w:eastAsia="仿宋_GB2312"/>
              </w:rPr>
              <w:t>,</w:t>
            </w:r>
            <w:r>
              <w:rPr>
                <w:rFonts w:ascii="仿宋_GB2312" w:hAnsi="仿宋_GB2312" w:cs="仿宋_GB2312" w:eastAsia="仿宋_GB2312"/>
              </w:rPr>
              <w:t>为确保数据安全，项目结束后，服务商将项目中使用的计算机硬盘无偿移交采购人。</w:t>
            </w:r>
          </w:p>
          <w:p>
            <w:pPr>
              <w:pStyle w:val="null3"/>
              <w:jc w:val="both"/>
            </w:pPr>
            <w:r>
              <w:rPr>
                <w:rFonts w:ascii="仿宋_GB2312" w:hAnsi="仿宋_GB2312" w:cs="仿宋_GB2312" w:eastAsia="仿宋_GB2312"/>
              </w:rPr>
              <w:t>档案数字化加工网络要与其他网络物理隔离，禁止使用无线网卡、无线键盘、无线鼠标等设备。用于档案数字化加工的设备、存储介质严禁与其他设备、存储介质交叉使用，非数字化加工专用的设备、存储介质严禁带入数字化加工场所。档案数字化加工设备和存储介质不得擅自送外维修，必须送外维修的应经过采购人同意，并由采购人工作人员现场监督。</w:t>
            </w:r>
          </w:p>
          <w:p>
            <w:pPr>
              <w:pStyle w:val="null3"/>
              <w:jc w:val="both"/>
            </w:pPr>
            <w:r>
              <w:rPr>
                <w:rFonts w:ascii="仿宋_GB2312" w:hAnsi="仿宋_GB2312" w:cs="仿宋_GB2312" w:eastAsia="仿宋_GB2312"/>
              </w:rPr>
              <w:t>服务商工作过程中使用的计算机硬盘、移动硬盘、</w:t>
            </w:r>
            <w:r>
              <w:rPr>
                <w:rFonts w:ascii="仿宋_GB2312" w:hAnsi="仿宋_GB2312" w:cs="仿宋_GB2312" w:eastAsia="仿宋_GB2312"/>
              </w:rPr>
              <w:t>U</w:t>
            </w:r>
            <w:r>
              <w:rPr>
                <w:rFonts w:ascii="仿宋_GB2312" w:hAnsi="仿宋_GB2312" w:cs="仿宋_GB2312" w:eastAsia="仿宋_GB2312"/>
              </w:rPr>
              <w:t>盘、光盘等存储介质要进行安全检查并登记造册、统一保管，要向采购人报备存储设备台账并及时更新，保持账物一致。服务商不得擅自处理任何存储介质。采购人会定期对供应商的各种存储介质、视频监控数据及回放记录、工作人员变更记录进行安全检查。要对供应商自带的各种硬件设备和软件系统进行检查，确保无信息留存。</w:t>
            </w:r>
          </w:p>
          <w:p>
            <w:pPr>
              <w:pStyle w:val="null3"/>
              <w:jc w:val="both"/>
            </w:pPr>
            <w:r>
              <w:rPr>
                <w:rFonts w:ascii="仿宋_GB2312" w:hAnsi="仿宋_GB2312" w:cs="仿宋_GB2312" w:eastAsia="仿宋_GB2312"/>
              </w:rPr>
              <w:t>档案数字化加工使用的计算机除了安装必要的操作系统、杀毒软件、档案数字化加工软件、数据库软件和第三方安全管理软件外，禁止安装其他无关软件。档案数字化加工使用的计算机、扫描仪等设备，必须采用技术手段或物理设备封闭所有不必要的信息输出装置或端口。封闭的装置或端口要定期进行检查。</w:t>
            </w:r>
          </w:p>
          <w:p>
            <w:pPr>
              <w:pStyle w:val="null3"/>
              <w:jc w:val="both"/>
            </w:pPr>
            <w:r>
              <w:rPr>
                <w:rFonts w:ascii="仿宋_GB2312" w:hAnsi="仿宋_GB2312" w:cs="仿宋_GB2312" w:eastAsia="仿宋_GB2312"/>
              </w:rPr>
              <w:t>（四）本项目管理要求</w:t>
            </w:r>
          </w:p>
          <w:p>
            <w:pPr>
              <w:pStyle w:val="null3"/>
              <w:jc w:val="both"/>
            </w:pPr>
            <w:r>
              <w:rPr>
                <w:rFonts w:ascii="仿宋_GB2312" w:hAnsi="仿宋_GB2312" w:cs="仿宋_GB2312" w:eastAsia="仿宋_GB2312"/>
              </w:rPr>
              <w:t>采购人会对全部工作过程进行监控，定期对供应商的人员、工作场地、基础设施、技术、管理工作、业务操作进行监督、检查，将各种风险降低到可控范围之内。供应商应具有完整的数字化加工方案和管理流程、工期进度安排、质量检验方案、保证档案实体和档案信息安全保密的管理制度、具体措施和承诺。</w:t>
            </w:r>
          </w:p>
          <w:p>
            <w:pPr>
              <w:pStyle w:val="null3"/>
              <w:jc w:val="both"/>
            </w:pPr>
            <w:r>
              <w:rPr>
                <w:rFonts w:ascii="仿宋_GB2312" w:hAnsi="仿宋_GB2312" w:cs="仿宋_GB2312" w:eastAsia="仿宋_GB2312"/>
              </w:rPr>
              <w:t>（五）项目安全管理要求</w:t>
            </w:r>
          </w:p>
          <w:p>
            <w:pPr>
              <w:pStyle w:val="null3"/>
              <w:jc w:val="both"/>
            </w:pPr>
            <w:r>
              <w:rPr>
                <w:rFonts w:ascii="仿宋_GB2312" w:hAnsi="仿宋_GB2312" w:cs="仿宋_GB2312" w:eastAsia="仿宋_GB2312"/>
              </w:rPr>
              <w:t>供应商应严格执行《中华人民共和国档案法》、《中华人民共和国保密法》及国家、行业以及采购方制定的相关保密规定，符合国家相关数字信息资源安全管理标准的要求，履行相关保密职责，签订保密协议，供应商要有书面的保密承诺书。</w:t>
            </w:r>
          </w:p>
          <w:p>
            <w:pPr>
              <w:pStyle w:val="null3"/>
              <w:jc w:val="both"/>
            </w:pPr>
            <w:r>
              <w:rPr>
                <w:rFonts w:ascii="仿宋_GB2312" w:hAnsi="仿宋_GB2312" w:cs="仿宋_GB2312" w:eastAsia="仿宋_GB2312"/>
              </w:rPr>
              <w:t>供应商所有参与档案整理的员工都需要签订保密承诺书。</w:t>
            </w:r>
          </w:p>
          <w:p>
            <w:pPr>
              <w:pStyle w:val="null3"/>
              <w:jc w:val="both"/>
            </w:pPr>
            <w:r>
              <w:rPr>
                <w:rFonts w:ascii="仿宋_GB2312" w:hAnsi="仿宋_GB2312" w:cs="仿宋_GB2312" w:eastAsia="仿宋_GB2312"/>
              </w:rPr>
              <w:t>供应商应防止工作人员损坏档案载体，篡改档案内容。对于尚未移交采购人的档案数字化成果，供应商应做好备份管理，防止数据丢失。</w:t>
            </w:r>
          </w:p>
          <w:p>
            <w:pPr>
              <w:pStyle w:val="null3"/>
              <w:jc w:val="both"/>
            </w:pPr>
            <w:r>
              <w:rPr>
                <w:rFonts w:ascii="仿宋_GB2312" w:hAnsi="仿宋_GB2312" w:cs="仿宋_GB2312" w:eastAsia="仿宋_GB2312"/>
              </w:rPr>
              <w:t>供应商应在档案加工场所安装视频监控系统。视频监控系统应覆盖出入口、档案存放区、信息存储区和工作区。视频监控数据自产生之日起保存不少于</w:t>
            </w:r>
            <w:r>
              <w:rPr>
                <w:rFonts w:ascii="仿宋_GB2312" w:hAnsi="仿宋_GB2312" w:cs="仿宋_GB2312" w:eastAsia="仿宋_GB2312"/>
              </w:rPr>
              <w:t>6</w:t>
            </w:r>
            <w:r>
              <w:rPr>
                <w:rFonts w:ascii="仿宋_GB2312" w:hAnsi="仿宋_GB2312" w:cs="仿宋_GB2312" w:eastAsia="仿宋_GB2312"/>
              </w:rPr>
              <w:t>个月，采购人应定期对视频进行回放检查，在删除视频监控数据之前，要留存视频回放记录。</w:t>
            </w:r>
          </w:p>
          <w:p>
            <w:pPr>
              <w:pStyle w:val="null3"/>
              <w:jc w:val="both"/>
            </w:pPr>
            <w:r>
              <w:rPr>
                <w:rFonts w:ascii="仿宋_GB2312" w:hAnsi="仿宋_GB2312" w:cs="仿宋_GB2312" w:eastAsia="仿宋_GB2312"/>
              </w:rPr>
              <w:t>供应商工作人员不得擅自进入采购人档案库房。非工作人员不得进入档案加工场所。工作人员完成作业后，不得在档案加工场所内停留。工作场所应设有储物箱柜，供工作人员和访客存放物品，并于工作区相隔离。严禁将私人物品带入工作区域。档案加工场所内严禁存放除档案和必备的工具器材设备之外的任何物品，特别是易燃易爆危险品。档案加工场所内作业完毕后，除过监控、报警、消防等电源外，其他电源必须全部关闭。供应商应建立现场上下班物品清点值班制度，严禁擅自将档案数字化加工场所内的物品带离现场。下班后，移动存储设备应存放于专柜并上锁，指定专人负责保管。</w:t>
            </w:r>
          </w:p>
          <w:p>
            <w:pPr>
              <w:pStyle w:val="null3"/>
              <w:jc w:val="both"/>
            </w:pPr>
            <w:r>
              <w:rPr>
                <w:rFonts w:ascii="仿宋_GB2312" w:hAnsi="仿宋_GB2312" w:cs="仿宋_GB2312" w:eastAsia="仿宋_GB2312"/>
              </w:rPr>
              <w:t>非工作人员需要进入档案加工场所时，应征得采购人同意，并登记访客的身份、来访事由。必要时，访客需要签订保密承诺书，承诺不泄露可能接触的任何档案信息。访客不得将有拍照、录音、录像功能的设备带入档案数字化加工场所。访客进入档案数字化加工场所，应佩戴胸牌，并由工作人员全程陪同。访客应遵守档案加工场所管理规定不得随意走动，不得碰触物品。</w:t>
            </w:r>
          </w:p>
          <w:p>
            <w:pPr>
              <w:pStyle w:val="null3"/>
              <w:jc w:val="both"/>
            </w:pPr>
            <w:r>
              <w:rPr>
                <w:rFonts w:ascii="仿宋_GB2312" w:hAnsi="仿宋_GB2312" w:cs="仿宋_GB2312" w:eastAsia="仿宋_GB2312"/>
              </w:rPr>
              <w:t>（六）项目作业环境要求</w:t>
            </w:r>
          </w:p>
          <w:p>
            <w:pPr>
              <w:pStyle w:val="null3"/>
              <w:jc w:val="both"/>
            </w:pPr>
            <w:r>
              <w:rPr>
                <w:rFonts w:ascii="仿宋_GB2312" w:hAnsi="仿宋_GB2312" w:cs="仿宋_GB2312" w:eastAsia="仿宋_GB2312"/>
                <w:sz w:val="21"/>
              </w:rPr>
              <w:t>档案数字化加工，要求在采购人加工场地内进行，供应商需提供数字化加工所需的全部设施、设备及软件等，并按采购人的安全、保密要求进行设备处理及网络布线，组建独立的数字化加工局域网，在数字化加工中负责加工现场软硬件及网络的维护、安全管理工作。采购人提供加工场地约</w:t>
            </w:r>
            <w:r>
              <w:rPr>
                <w:rFonts w:ascii="仿宋_GB2312" w:hAnsi="仿宋_GB2312" w:cs="仿宋_GB2312" w:eastAsia="仿宋_GB2312"/>
                <w:sz w:val="21"/>
              </w:rPr>
              <w:t>200</w:t>
            </w:r>
            <w:r>
              <w:rPr>
                <w:rFonts w:ascii="仿宋_GB2312" w:hAnsi="仿宋_GB2312" w:cs="仿宋_GB2312" w:eastAsia="仿宋_GB2312"/>
                <w:sz w:val="21"/>
              </w:rPr>
              <w:t>平方米，并承担场地水电费。供应商在采购人安排的加工场所内只能从事档案整理相关工作，不得从事其他任何未经采购人允许的工作。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付款方式：</w:t>
            </w:r>
            <w:r>
              <w:rPr>
                <w:rFonts w:ascii="仿宋_GB2312" w:hAnsi="仿宋_GB2312" w:cs="仿宋_GB2312" w:eastAsia="仿宋_GB2312"/>
              </w:rPr>
              <w:t>共三次付款，</w:t>
            </w:r>
            <w:r>
              <w:rPr>
                <w:rFonts w:ascii="仿宋_GB2312" w:hAnsi="仿宋_GB2312" w:cs="仿宋_GB2312" w:eastAsia="仿宋_GB2312"/>
              </w:rPr>
              <w:t>6</w:t>
            </w:r>
            <w:r>
              <w:rPr>
                <w:rFonts w:ascii="仿宋_GB2312" w:hAnsi="仿宋_GB2312" w:cs="仿宋_GB2312" w:eastAsia="仿宋_GB2312"/>
              </w:rPr>
              <w:t>月</w:t>
            </w:r>
            <w:r>
              <w:rPr>
                <w:rFonts w:ascii="仿宋_GB2312" w:hAnsi="仿宋_GB2312" w:cs="仿宋_GB2312" w:eastAsia="仿宋_GB2312"/>
              </w:rPr>
              <w:t>25</w:t>
            </w:r>
            <w:r>
              <w:rPr>
                <w:rFonts w:ascii="仿宋_GB2312" w:hAnsi="仿宋_GB2312" w:cs="仿宋_GB2312" w:eastAsia="仿宋_GB2312"/>
              </w:rPr>
              <w:t>日，根据验收合格的工作量支付相应的金额；</w:t>
            </w:r>
            <w:r>
              <w:rPr>
                <w:rFonts w:ascii="仿宋_GB2312" w:hAnsi="仿宋_GB2312" w:cs="仿宋_GB2312" w:eastAsia="仿宋_GB2312"/>
              </w:rPr>
              <w:t>9</w:t>
            </w:r>
            <w:r>
              <w:rPr>
                <w:rFonts w:ascii="仿宋_GB2312" w:hAnsi="仿宋_GB2312" w:cs="仿宋_GB2312" w:eastAsia="仿宋_GB2312"/>
              </w:rPr>
              <w:t>月</w:t>
            </w:r>
            <w:r>
              <w:rPr>
                <w:rFonts w:ascii="仿宋_GB2312" w:hAnsi="仿宋_GB2312" w:cs="仿宋_GB2312" w:eastAsia="仿宋_GB2312"/>
              </w:rPr>
              <w:t>25</w:t>
            </w:r>
            <w:r>
              <w:rPr>
                <w:rFonts w:ascii="仿宋_GB2312" w:hAnsi="仿宋_GB2312" w:cs="仿宋_GB2312" w:eastAsia="仿宋_GB2312"/>
              </w:rPr>
              <w:t>日，根据验收合格的工作量支付相应的金额；</w:t>
            </w:r>
            <w:r>
              <w:rPr>
                <w:rFonts w:ascii="仿宋_GB2312" w:hAnsi="仿宋_GB2312" w:cs="仿宋_GB2312" w:eastAsia="仿宋_GB2312"/>
              </w:rPr>
              <w:t>11</w:t>
            </w:r>
            <w:r>
              <w:rPr>
                <w:rFonts w:ascii="仿宋_GB2312" w:hAnsi="仿宋_GB2312" w:cs="仿宋_GB2312" w:eastAsia="仿宋_GB2312"/>
              </w:rPr>
              <w:t>月</w:t>
            </w:r>
            <w:r>
              <w:rPr>
                <w:rFonts w:ascii="仿宋_GB2312" w:hAnsi="仿宋_GB2312" w:cs="仿宋_GB2312" w:eastAsia="仿宋_GB2312"/>
              </w:rPr>
              <w:t>30</w:t>
            </w:r>
            <w:r>
              <w:rPr>
                <w:rFonts w:ascii="仿宋_GB2312" w:hAnsi="仿宋_GB2312" w:cs="仿宋_GB2312" w:eastAsia="仿宋_GB2312"/>
              </w:rPr>
              <w:t>日，需完成合同金额对应的工作量，验收合格后支付全部款项。乙方按甲方要求提供发票。（因电子化格式有限，按照本项支付约定响应）</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合同签订之日起至2025年11月30日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西安市城建档案馆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2025年6月25日，根据验收合格的工作量支付相应的金额</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2025年9月25日，根据验收合格的工作量支付相应的金额</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2025年11月30日，需完成合同金额对应的工作量，验收合格后支付全部款项</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磋商时无需提供纸质响应文件，成交供应商在领取成交通知书时提供纸质响应文件两份，纸质版文件须是电子化交易平台系统生成的响应文件。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供应商应提供2023年或2024年经审计的财务报告（须赋验证码）（成立时间至提交磋商响应文件截止时间不足一年的可提供成立以来的资产负债表），或磋商截止之日前三个月内银行开具的资信证明，或信用担保机构出具的担保函（以上三种形式的资料提供任何一种即可））； （3）具有履行合同所必需的设备和专业技术能力的证明材料或承诺书； （4）具有依法缴纳税收和社会保障资金的良好记录相关证明材料（提供磋商截止之日前六个月内任意一个月的缴费凭据或提供相关主管部门出具的缴纳证明）。依法免缴的供应商须提供相应文件证明其依法免缴；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供应商应提供2023年或2024年经审计的财务报告（须赋验证码）（成立时间至提交磋商响应文件截止时间不足一年的可提供成立以来的资产负债表），或磋商截止之日前三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供应商承诺.docx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供应具备国家保密局颁发的《国家秘密载体印制资质证书》，资质类别为涉密档案数字化加工。</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w:t>
            </w:r>
          </w:p>
        </w:tc>
        <w:tc>
          <w:tcPr>
            <w:tcW w:type="dxa" w:w="3322"/>
          </w:tcPr>
          <w:p>
            <w:pPr>
              <w:pStyle w:val="null3"/>
            </w:pPr>
            <w:r>
              <w:rPr>
                <w:rFonts w:ascii="仿宋_GB2312" w:hAnsi="仿宋_GB2312" w:cs="仿宋_GB2312" w:eastAsia="仿宋_GB2312"/>
              </w:rPr>
              <w:t>磋商响应文件按磋商文件要求法定代表人（或负责人）或其授权代表签字</w:t>
            </w:r>
          </w:p>
        </w:tc>
        <w:tc>
          <w:tcPr>
            <w:tcW w:type="dxa" w:w="1661"/>
          </w:tcPr>
          <w:p>
            <w:pPr>
              <w:pStyle w:val="null3"/>
            </w:pPr>
            <w:r>
              <w:rPr>
                <w:rFonts w:ascii="仿宋_GB2312" w:hAnsi="仿宋_GB2312" w:cs="仿宋_GB2312" w:eastAsia="仿宋_GB2312"/>
              </w:rPr>
              <w:t>合同草案条款偏离表.docx 采购需求偏离表.docx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合同草案条款偏离表.docx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服务方案包括：项目背景及需求分析、项目重难点分析、工作流程、进度计划、组织管理，5项。 评审标准：方案描述详细，条理清晰，切实可行，满足技术要求（共5项，满分10分）。 （1）满足项目需求及评审标准的，每项得2分； （2）符合项目需求，方案可行的，每项得1分； （3）方案不妥待完善或未提供不得分。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档案整理方法</w:t>
            </w:r>
          </w:p>
        </w:tc>
        <w:tc>
          <w:tcPr>
            <w:tcW w:type="dxa" w:w="2492"/>
          </w:tcPr>
          <w:p>
            <w:pPr>
              <w:pStyle w:val="null3"/>
            </w:pPr>
            <w:r>
              <w:rPr>
                <w:rFonts w:ascii="仿宋_GB2312" w:hAnsi="仿宋_GB2312" w:cs="仿宋_GB2312" w:eastAsia="仿宋_GB2312"/>
              </w:rPr>
              <w:t>详细阐述档案整理方法，包括分类体系、编目规则、文件修复、整理装订、归档上架，5项。 评审标准：方案描述详细，条理清晰，切实可行，满足技术要求（共5项，满分10分）。 （1）满足项目需求及评审标准的，每项得2分； （2）符合项目需求，方案可行的，每项得1分； （3）方案不妥待完善或未提供不得分。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数字化技术</w:t>
            </w:r>
          </w:p>
        </w:tc>
        <w:tc>
          <w:tcPr>
            <w:tcW w:type="dxa" w:w="2492"/>
          </w:tcPr>
          <w:p>
            <w:pPr>
              <w:pStyle w:val="null3"/>
            </w:pPr>
            <w:r>
              <w:rPr>
                <w:rFonts w:ascii="仿宋_GB2312" w:hAnsi="仿宋_GB2312" w:cs="仿宋_GB2312" w:eastAsia="仿宋_GB2312"/>
              </w:rPr>
              <w:t>说明数字化扫描设备的性能、图像处理技术、字符识别技术、数据管理技术，4项。 评审标准：技术先进，能够保证数字化成果质量（共4项，满分8分）。 （1）满足项目需求及评审标准的，每项得2分； （2）符合项目需求，方案可行的，每项得1分； （3）方案不妥待完善的，未提供不得分。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设备投入方案</w:t>
            </w:r>
          </w:p>
        </w:tc>
        <w:tc>
          <w:tcPr>
            <w:tcW w:type="dxa" w:w="2492"/>
          </w:tcPr>
          <w:p>
            <w:pPr>
              <w:pStyle w:val="null3"/>
            </w:pPr>
            <w:r>
              <w:rPr>
                <w:rFonts w:ascii="仿宋_GB2312" w:hAnsi="仿宋_GB2312" w:cs="仿宋_GB2312" w:eastAsia="仿宋_GB2312"/>
              </w:rPr>
              <w:t>根据供应商提供设备的智能化及安全可靠性，提供的系统及设备中包含以下类似系统: 数字化加工安全管理系统，档案管理系统。每提供一项得2分，最高得4分，相关设备为供应商单位研发自有的须提供证明资料，例如知识产权证明(软件著作权登记证书或专利)，如为供应商租用或购置的应提供租用协议(租用时间须满足本次服务时间)或购置发票(购置发票须清晰可辨）</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制定完善的质量控制计划，包括档案编撰过程控制、质量检查流程控制、档案制作及检查标准、人员职责分工，4项。 评审标准：方案描述详细，条理清晰，措施有效可行（共4项，满分12分）。 （1）满足项目需求及评审标准的，每项得3分； （2）符合项目需求，方案可行的，每项得2分； （3）方案不妥待完善的，每项得1分；未提供不得分。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安全保密方案</w:t>
            </w:r>
          </w:p>
        </w:tc>
        <w:tc>
          <w:tcPr>
            <w:tcW w:type="dxa" w:w="2492"/>
          </w:tcPr>
          <w:p>
            <w:pPr>
              <w:pStyle w:val="null3"/>
            </w:pPr>
            <w:r>
              <w:rPr>
                <w:rFonts w:ascii="仿宋_GB2312" w:hAnsi="仿宋_GB2312" w:cs="仿宋_GB2312" w:eastAsia="仿宋_GB2312"/>
              </w:rPr>
              <w:t>安全保密方案应包含实体档案安全保障、电子档案信息安全防护、人员保密管理、应急处置，4项。 评审标准：方案描述详细，条理清晰，措施有效可行（共4项，满分8分）。 （1）满足项目需求及评审标准的，每项得2分； （2）符合项目需求，方案可行的，每项得1分； （3）方案不妥待完善的，每项得0.5分；未提供不得分。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服务团队专业能力</w:t>
            </w:r>
          </w:p>
        </w:tc>
        <w:tc>
          <w:tcPr>
            <w:tcW w:type="dxa" w:w="2492"/>
          </w:tcPr>
          <w:p>
            <w:pPr>
              <w:pStyle w:val="null3"/>
            </w:pPr>
            <w:r>
              <w:rPr>
                <w:rFonts w:ascii="仿宋_GB2312" w:hAnsi="仿宋_GB2312" w:cs="仿宋_GB2312" w:eastAsia="仿宋_GB2312"/>
              </w:rPr>
              <w:t>项目团队人员： 1.拟派项目负责人本科及以上学历及相关业绩证明（合同或验收报告）。提供项目负责人学历证书扫描件及2024年6月至今供应商为其缴纳的任意连续3个月的社保证明材料。得 3 分。 2.为本项目配备了保密专员，保密专员需提供区级以上（含区级）国家保密局颁发的保密培训证书。提供2024年6月至今供应商为其缴纳的任意连续3个月的社保证明材料。每提供一个人得 1 分，最多得 3 分。 3.参与本项目的团队成员，具有国家或地方档案管理、人力资源、或教育部门认可的档案业务相关培训证书。提供2024年6月至今供应商为其缴纳的任意连续3个月的社保证明材料。每提供 1 个得 2 分，最多得 10 分。未提供的不得分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提供完善的售后服务计划，包括服务响应时间、问题解决措施、定期回访，3项。 评审标准：方案描述详细，条理清晰，有效可行（共3项，满分9分）。 （1）满足项目需求及评审标准的，每项得3分； （2）符合项目需求，方案可行的，每项得2分； （3）方案不妥待完善的，每项得1分；未提供不得分。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根据供应商提供的质量体系认证证书、职业健康安全管理体系认证证书、环境管理体系认证证书的情况进行评分： 供应商每提供一个有效的证书，得1分，满分3分。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提供近三年（2023年1月至投标截止日）类似项目业绩（业绩以合同或中标通知书，以载明时间为准），每提供一个业绩证明资料计2分，满分10分。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详见附件：合同草案条款偏离表.docx</w:t>
      </w:r>
    </w:p>
    <w:p>
      <w:pPr>
        <w:pStyle w:val="null3"/>
        <w:ind w:firstLine="960"/>
      </w:pPr>
      <w:r>
        <w:rPr>
          <w:rFonts w:ascii="仿宋_GB2312" w:hAnsi="仿宋_GB2312" w:cs="仿宋_GB2312" w:eastAsia="仿宋_GB2312"/>
        </w:rPr>
        <w:t>详见附件：供应商承诺.docx</w:t>
      </w:r>
    </w:p>
    <w:p>
      <w:pPr>
        <w:pStyle w:val="null3"/>
        <w:ind w:firstLine="960"/>
      </w:pPr>
      <w:r>
        <w:rPr>
          <w:rFonts w:ascii="仿宋_GB2312" w:hAnsi="仿宋_GB2312" w:cs="仿宋_GB2312" w:eastAsia="仿宋_GB2312"/>
        </w:rPr>
        <w:t>详见附件：资格证明资料.docx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