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版本号：SXZHZB2025-ZC013-CS20250523001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西安饮用水专项调查委托监测项目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SXZHZB2025-ZC013-CS</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西安饮用水专项调查委托监测项目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SXZHZB2025-ZC013-CS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西安饮用水专项调查委托监测项目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市33个乡镇级（千吨万人）集中式饮用水水源地开展监测，其中地表水25项指标3个点位，地下水15项指标30个点位，频次为1次。并按照甲方要求完成西安市集中式饮用水源地专项调查报告，协助甲方完成系统填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采购包1（西安饮用水专项调查委托监测项目）：属于专门面向中小企业采购。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3、资质证书：供应商具有省级及以上质量技术监督部门颁发的检验检测机构资质认定证书（CMA）；</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代理服务费：以成交金额为基数，参照国家计委颁发的《招标代理服务收费管理暂行办法》（计价格〔2002〕1980号）和财政部颁发的《政府采购代理机构管理暂行办法》 (财库〔2018〕2号) 的有关规定执行，不足8000元，按8000元计取。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33个乡镇级（千吨万人）集中式饮用水水源地开展监测，其中地表水25项指标3个点位，地下水15项指标30个点位，频次为1次。并按照甲方要求完成西安市集中式饮用水源地专项调查报告，协助甲方完成系统填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服务内容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依据</w:t>
            </w:r>
            <w:r>
              <w:rPr>
                <w:rFonts w:ascii="仿宋_GB2312" w:hAnsi="仿宋_GB2312" w:cs="仿宋_GB2312" w:eastAsia="仿宋_GB2312"/>
                <w:sz w:val="21"/>
              </w:rPr>
              <w:t>集中式饮用水</w:t>
            </w:r>
            <w:r>
              <w:rPr>
                <w:rFonts w:ascii="仿宋_GB2312" w:hAnsi="仿宋_GB2312" w:cs="仿宋_GB2312" w:eastAsia="仿宋_GB2312"/>
                <w:sz w:val="21"/>
              </w:rPr>
              <w:t>水源地监测工作相关管理需求，监测工作内容如下：</w:t>
            </w:r>
          </w:p>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监测点位</w:t>
            </w:r>
            <w:r>
              <w:rPr>
                <w:rFonts w:ascii="仿宋_GB2312" w:hAnsi="仿宋_GB2312" w:cs="仿宋_GB2312" w:eastAsia="仿宋_GB2312"/>
                <w:sz w:val="21"/>
              </w:rPr>
              <w:t>：</w:t>
            </w:r>
            <w:r>
              <w:rPr>
                <w:rFonts w:ascii="仿宋_GB2312" w:hAnsi="仿宋_GB2312" w:cs="仿宋_GB2312" w:eastAsia="仿宋_GB2312"/>
                <w:sz w:val="21"/>
              </w:rPr>
              <w:t>共计</w:t>
            </w:r>
            <w:r>
              <w:rPr>
                <w:rFonts w:ascii="仿宋_GB2312" w:hAnsi="仿宋_GB2312" w:cs="仿宋_GB2312" w:eastAsia="仿宋_GB2312"/>
                <w:sz w:val="21"/>
              </w:rPr>
              <w:t>33</w:t>
            </w:r>
            <w:r>
              <w:rPr>
                <w:rFonts w:ascii="仿宋_GB2312" w:hAnsi="仿宋_GB2312" w:cs="仿宋_GB2312" w:eastAsia="仿宋_GB2312"/>
                <w:sz w:val="21"/>
              </w:rPr>
              <w:t>个监测点位，</w:t>
            </w:r>
            <w:r>
              <w:rPr>
                <w:rFonts w:ascii="仿宋_GB2312" w:hAnsi="仿宋_GB2312" w:cs="仿宋_GB2312" w:eastAsia="仿宋_GB2312"/>
                <w:sz w:val="21"/>
              </w:rPr>
              <w:t>具体见下表。</w:t>
            </w:r>
          </w:p>
          <w:tbl>
            <w:tblPr>
              <w:tblBorders>
                <w:top w:val="none" w:color="000000" w:sz="4"/>
                <w:left w:val="none" w:color="000000" w:sz="4"/>
                <w:bottom w:val="none" w:color="000000" w:sz="4"/>
                <w:right w:val="none" w:color="000000" w:sz="4"/>
                <w:insideH w:val="none"/>
                <w:insideV w:val="none"/>
              </w:tblBorders>
            </w:tblPr>
            <w:tblGrid>
              <w:gridCol w:w="392"/>
              <w:gridCol w:w="1168"/>
              <w:gridCol w:w="595"/>
              <w:gridCol w:w="392"/>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水源地名称</w:t>
                  </w:r>
                </w:p>
              </w:tc>
              <w:tc>
                <w:tcPr>
                  <w:tcW w:type="dxa" w:w="595"/>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所在区县</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红旗街道高桥村水源地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灞桥</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通远镇生王村水源地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高陵</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张卜镇塬后村水源地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高陵</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新兴街道水北村水源地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阎良</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油槐街道水源地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相桥街道水源地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雨金街道水源地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栎阳街道水源地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新市街道水源地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西泉街道水源地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徐杨街道新华村水源地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相桥街道八里村水源地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临潼</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五竹镇侯家庙村水源地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鄠邑</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涝店镇谭家村水源地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鄠邑</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祖庵镇北寺村水源地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鄠邑</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余下镇余下村水源地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鄠邑</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青化镇青化村水源地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哑柏镇哑兴村水源地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终南镇终南村水源地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竹峪镇泥峪河水源地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地表水</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终南镇豆村水源地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终南镇解村水源地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终南镇勒马村水源地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哑柏镇槐花村水源地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九峰镇南千户村水源地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周至</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汤峪镇汤峪河水源地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地表水</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玉山镇清峪河水源地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地表水</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洩湖镇蟠桃村水源地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五星街道南留村水源地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五星街道姜家堡村水源地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庞光街道水源地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秦渡街道父慈村水源地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秦渡街道水源地</w:t>
                  </w:r>
                </w:p>
              </w:tc>
              <w:tc>
                <w:tcPr>
                  <w:tcW w:type="dxa" w:w="59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高新</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监测项目</w:t>
            </w:r>
          </w:p>
          <w:p>
            <w:pPr>
              <w:pStyle w:val="null3"/>
              <w:ind w:firstLine="420"/>
            </w:pPr>
            <w:r>
              <w:rPr>
                <w:rFonts w:ascii="仿宋_GB2312" w:hAnsi="仿宋_GB2312" w:cs="仿宋_GB2312" w:eastAsia="仿宋_GB2312"/>
                <w:sz w:val="21"/>
              </w:rPr>
              <w:t>地表水水源</w:t>
            </w:r>
            <w:r>
              <w:rPr>
                <w:rFonts w:ascii="仿宋_GB2312" w:hAnsi="仿宋_GB2312" w:cs="仿宋_GB2312" w:eastAsia="仿宋_GB2312"/>
                <w:sz w:val="21"/>
              </w:rPr>
              <w:t>：</w:t>
            </w:r>
            <w:r>
              <w:rPr>
                <w:rFonts w:ascii="仿宋_GB2312" w:hAnsi="仿宋_GB2312" w:cs="仿宋_GB2312" w:eastAsia="仿宋_GB2312"/>
                <w:sz w:val="21"/>
              </w:rPr>
              <w:t>1.列入《生活饮用水卫生标准》（GB 5749-2022）但未列入《地表水环境质量标准》的25项指标：一氯二溴甲烷、二氯一溴甲烷、三卤甲烷（三氯甲烷、一氯二溴甲烷、二氯一溴甲烷、三溴甲烷的总和）、二氯乙酸、三氯乙酸、溴酸盐、亚氯酸盐、氯酸盐、银、高氯酸盐、七氯、灭草松、呋喃丹、毒死蜱、草甘膦、2</w:t>
            </w:r>
            <w:r>
              <w:rPr>
                <w:rFonts w:ascii="仿宋_GB2312" w:hAnsi="仿宋_GB2312" w:cs="仿宋_GB2312" w:eastAsia="仿宋_GB2312"/>
                <w:sz w:val="21"/>
              </w:rPr>
              <w:t>,</w:t>
            </w:r>
            <w:r>
              <w:rPr>
                <w:rFonts w:ascii="仿宋_GB2312" w:hAnsi="仿宋_GB2312" w:cs="仿宋_GB2312" w:eastAsia="仿宋_GB2312"/>
                <w:sz w:val="21"/>
              </w:rPr>
              <w:t>4-滴、乙草胺、溶解性总固体、总硬度、铝、钠、2-甲基异莰醇、土臭素、总α放射性、总β放射性。</w:t>
            </w:r>
            <w:r>
              <w:rPr>
                <w:rFonts w:ascii="仿宋_GB2312" w:hAnsi="仿宋_GB2312" w:cs="仿宋_GB2312" w:eastAsia="仿宋_GB2312"/>
                <w:sz w:val="21"/>
              </w:rPr>
              <w:t>2</w:t>
            </w:r>
            <w:r>
              <w:rPr>
                <w:rFonts w:ascii="仿宋_GB2312" w:hAnsi="仿宋_GB2312" w:cs="仿宋_GB2312" w:eastAsia="仿宋_GB2312"/>
                <w:sz w:val="21"/>
              </w:rPr>
              <w:t>.全氟化合物</w:t>
            </w:r>
            <w:r>
              <w:rPr>
                <w:rFonts w:ascii="仿宋_GB2312" w:hAnsi="仿宋_GB2312" w:cs="仿宋_GB2312" w:eastAsia="仿宋_GB2312"/>
                <w:sz w:val="21"/>
              </w:rPr>
              <w:t>：</w:t>
            </w:r>
            <w:r>
              <w:rPr>
                <w:rFonts w:ascii="仿宋_GB2312" w:hAnsi="仿宋_GB2312" w:cs="仿宋_GB2312" w:eastAsia="仿宋_GB2312"/>
                <w:sz w:val="21"/>
              </w:rPr>
              <w:t>全氟己基磺酸、全氟辛酸、全氟辛基磺酸及其盐</w:t>
            </w:r>
            <w:r>
              <w:rPr>
                <w:rFonts w:ascii="仿宋_GB2312" w:hAnsi="仿宋_GB2312" w:cs="仿宋_GB2312" w:eastAsia="仿宋_GB2312"/>
                <w:sz w:val="21"/>
              </w:rPr>
              <w:t>类</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地下水水源</w:t>
            </w:r>
            <w:r>
              <w:rPr>
                <w:rFonts w:ascii="仿宋_GB2312" w:hAnsi="仿宋_GB2312" w:cs="仿宋_GB2312" w:eastAsia="仿宋_GB2312"/>
                <w:sz w:val="21"/>
              </w:rPr>
              <w:t>：</w:t>
            </w:r>
            <w:r>
              <w:rPr>
                <w:rFonts w:ascii="仿宋_GB2312" w:hAnsi="仿宋_GB2312" w:cs="仿宋_GB2312" w:eastAsia="仿宋_GB2312"/>
                <w:sz w:val="21"/>
              </w:rPr>
              <w:t>1.列入《生活饮用水卫生标准》（GB 5749-2022）但未列入《地下水质量标准》的15项指标：一氯二溴甲烷、二氯一溴甲烷、三卤甲烷（三氯甲烷、一氯二溴甲烷、二氯一溴甲烷、三溴甲烷的总和）、二氯乙酸、三氯乙酸、溴酸盐、亚氯酸盐、氯酸盐、高氯酸盐、六氯丁二烯、灭草松、溴氰菊酯、乙草胺、丙烯酰胺、环氧氯丙烷。</w:t>
            </w:r>
            <w:r>
              <w:rPr>
                <w:rFonts w:ascii="仿宋_GB2312" w:hAnsi="仿宋_GB2312" w:cs="仿宋_GB2312" w:eastAsia="仿宋_GB2312"/>
                <w:sz w:val="21"/>
              </w:rPr>
              <w:t>2</w:t>
            </w:r>
            <w:r>
              <w:rPr>
                <w:rFonts w:ascii="仿宋_GB2312" w:hAnsi="仿宋_GB2312" w:cs="仿宋_GB2312" w:eastAsia="仿宋_GB2312"/>
                <w:sz w:val="21"/>
              </w:rPr>
              <w:t>.全氟化合物</w:t>
            </w:r>
            <w:r>
              <w:rPr>
                <w:rFonts w:ascii="仿宋_GB2312" w:hAnsi="仿宋_GB2312" w:cs="仿宋_GB2312" w:eastAsia="仿宋_GB2312"/>
                <w:sz w:val="21"/>
              </w:rPr>
              <w:t>：</w:t>
            </w:r>
            <w:r>
              <w:rPr>
                <w:rFonts w:ascii="仿宋_GB2312" w:hAnsi="仿宋_GB2312" w:cs="仿宋_GB2312" w:eastAsia="仿宋_GB2312"/>
                <w:sz w:val="21"/>
              </w:rPr>
              <w:t>全氟己基磺酸、全氟辛酸、全氟辛基磺酸及其盐</w:t>
            </w:r>
            <w:r>
              <w:rPr>
                <w:rFonts w:ascii="仿宋_GB2312" w:hAnsi="仿宋_GB2312" w:cs="仿宋_GB2312" w:eastAsia="仿宋_GB2312"/>
                <w:sz w:val="21"/>
              </w:rPr>
              <w:t>类</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分析方法：所有项目分析方法见下表。</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474747"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38"/>
                  <w:tcBorders>
                    <w:top w:val="single" w:color="474747"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监测项目</w:t>
                  </w:r>
                </w:p>
              </w:tc>
              <w:tc>
                <w:tcPr>
                  <w:tcW w:type="dxa" w:w="638"/>
                  <w:tcBorders>
                    <w:top w:val="single" w:color="474747"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分析方法</w:t>
                  </w:r>
                </w:p>
              </w:tc>
              <w:tc>
                <w:tcPr>
                  <w:tcW w:type="dxa" w:w="638"/>
                  <w:tcBorders>
                    <w:top w:val="single" w:color="474747"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方法标准号</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总硬度</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EDTA滴定法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GB7477—87</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溶解性总固体</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称量法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GB/T5750.4—2023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高氯酸盐</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离子色谱法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GB/T5750.5—2023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超高效液相色谱串联质谱法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GB/T5750.5—2023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电感耦合等离子体质谱法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HJ700—2014</w:t>
                  </w:r>
                  <w:r>
                    <w:br/>
                  </w:r>
                  <w:r>
                    <w:rPr>
                      <w:rFonts w:ascii="仿宋_GB2312" w:hAnsi="仿宋_GB2312" w:cs="仿宋_GB2312" w:eastAsia="仿宋_GB2312"/>
                      <w:sz w:val="21"/>
                    </w:rPr>
                    <w:t>GB/T5750.6—2023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电感耦合等离子发射光谱法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HJ776—2015</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无火焰原子吸收分光光度法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GB/T5750.6—2023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水杨基荧光酮</w:t>
                  </w:r>
                  <w:r>
                    <w:rPr>
                      <w:rFonts w:ascii="仿宋_GB2312" w:hAnsi="仿宋_GB2312" w:cs="仿宋_GB2312" w:eastAsia="仿宋_GB2312"/>
                      <w:sz w:val="21"/>
                    </w:rPr>
                    <w:t>—氯代十六烷基吡啶</w:t>
                  </w:r>
                  <w:r>
                    <w:rPr>
                      <w:rFonts w:ascii="仿宋_GB2312" w:hAnsi="仿宋_GB2312" w:cs="仿宋_GB2312" w:eastAsia="仿宋_GB2312"/>
                      <w:sz w:val="21"/>
                    </w:rPr>
                    <w:t>分光光度法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GB/T5750.6—2023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铬天青</w:t>
                  </w:r>
                  <w:r>
                    <w:rPr>
                      <w:rFonts w:ascii="仿宋_GB2312" w:hAnsi="仿宋_GB2312" w:cs="仿宋_GB2312" w:eastAsia="仿宋_GB2312"/>
                      <w:sz w:val="21"/>
                    </w:rPr>
                    <w:t>S分光光度法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GB/T5750.6—2023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电感耦合等离子体质谱法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HJ700—2014</w:t>
                  </w:r>
                  <w:r>
                    <w:br/>
                  </w:r>
                  <w:r>
                    <w:rPr>
                      <w:rFonts w:ascii="仿宋_GB2312" w:hAnsi="仿宋_GB2312" w:cs="仿宋_GB2312" w:eastAsia="仿宋_GB2312"/>
                      <w:sz w:val="21"/>
                    </w:rPr>
                    <w:t>GB/T5750.6—2023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电感耦合等离子发射光谱法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HJ776—2015</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无火焰原子吸收分光光度法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GB/T5750.6—2023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钠</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电感耦合等离子发射光谱法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HJ776—2015</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火焰原子吸收分光光度法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GB/T5750.6—2023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电感耦合等离子体质谱法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HJ700—2014</w:t>
                  </w:r>
                  <w:r>
                    <w:br/>
                  </w:r>
                  <w:r>
                    <w:rPr>
                      <w:rFonts w:ascii="仿宋_GB2312" w:hAnsi="仿宋_GB2312" w:cs="仿宋_GB2312" w:eastAsia="仿宋_GB2312"/>
                      <w:sz w:val="21"/>
                    </w:rPr>
                    <w:t>GB/T5750.6—2023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离子色谱法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HJ812—2016</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丙烯酰胺</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液相色谱三重四极杆质谱法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GB/T5750.8—2023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HJ697—2014</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溴氰菊酯</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HJ698—2014</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HJ753—2015</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挥发性有机</w:t>
                  </w:r>
                  <w:r>
                    <w:br/>
                  </w:r>
                  <w:r>
                    <w:rPr>
                      <w:rFonts w:ascii="仿宋_GB2312" w:hAnsi="仿宋_GB2312" w:cs="仿宋_GB2312" w:eastAsia="仿宋_GB2312"/>
                      <w:sz w:val="21"/>
                    </w:rPr>
                    <w:t>物：三氯甲烷、</w:t>
                  </w:r>
                  <w:r>
                    <w:br/>
                  </w:r>
                  <w:r>
                    <w:rPr>
                      <w:rFonts w:ascii="仿宋_GB2312" w:hAnsi="仿宋_GB2312" w:cs="仿宋_GB2312" w:eastAsia="仿宋_GB2312"/>
                      <w:sz w:val="21"/>
                    </w:rPr>
                    <w:t>一溴二氯甲</w:t>
                  </w:r>
                  <w:r>
                    <w:br/>
                  </w:r>
                  <w:r>
                    <w:rPr>
                      <w:rFonts w:ascii="仿宋_GB2312" w:hAnsi="仿宋_GB2312" w:cs="仿宋_GB2312" w:eastAsia="仿宋_GB2312"/>
                      <w:sz w:val="21"/>
                    </w:rPr>
                    <w:t>烷、二溴一氯</w:t>
                  </w:r>
                  <w:r>
                    <w:br/>
                  </w:r>
                  <w:r>
                    <w:rPr>
                      <w:rFonts w:ascii="仿宋_GB2312" w:hAnsi="仿宋_GB2312" w:cs="仿宋_GB2312" w:eastAsia="仿宋_GB2312"/>
                      <w:sz w:val="21"/>
                    </w:rPr>
                    <w:t>甲烷、三溴甲</w:t>
                  </w:r>
                  <w:r>
                    <w:br/>
                  </w:r>
                  <w:r>
                    <w:rPr>
                      <w:rFonts w:ascii="仿宋_GB2312" w:hAnsi="仿宋_GB2312" w:cs="仿宋_GB2312" w:eastAsia="仿宋_GB2312"/>
                      <w:sz w:val="21"/>
                    </w:rPr>
                    <w:t>烷、环氧氯丙</w:t>
                  </w:r>
                  <w:r>
                    <w:br/>
                  </w:r>
                  <w:r>
                    <w:rPr>
                      <w:rFonts w:ascii="仿宋_GB2312" w:hAnsi="仿宋_GB2312" w:cs="仿宋_GB2312" w:eastAsia="仿宋_GB2312"/>
                      <w:sz w:val="21"/>
                    </w:rPr>
                    <w:t>烷、六氯丁二</w:t>
                  </w:r>
                  <w:r>
                    <w:br/>
                  </w:r>
                  <w:r>
                    <w:rPr>
                      <w:rFonts w:ascii="仿宋_GB2312" w:hAnsi="仿宋_GB2312" w:cs="仿宋_GB2312" w:eastAsia="仿宋_GB2312"/>
                      <w:sz w:val="21"/>
                    </w:rPr>
                    <w:t>烯</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吹扫捕集</w:t>
                  </w:r>
                  <w:r>
                    <w:rPr>
                      <w:rFonts w:ascii="仿宋_GB2312" w:hAnsi="仿宋_GB2312" w:cs="仿宋_GB2312" w:eastAsia="仿宋_GB2312"/>
                      <w:sz w:val="21"/>
                    </w:rPr>
                    <w:t>/气相色谱-质谱法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HJ639—2012</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顶空</w:t>
                  </w:r>
                  <w:r>
                    <w:rPr>
                      <w:rFonts w:ascii="仿宋_GB2312" w:hAnsi="仿宋_GB2312" w:cs="仿宋_GB2312" w:eastAsia="仿宋_GB2312"/>
                      <w:sz w:val="21"/>
                    </w:rPr>
                    <w:t>/气相色谱-质谱法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HJ810—2016</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土臭素和</w:t>
                  </w:r>
                  <w:r>
                    <w:rPr>
                      <w:rFonts w:ascii="仿宋_GB2312" w:hAnsi="仿宋_GB2312" w:cs="仿宋_GB2312" w:eastAsia="仿宋_GB2312"/>
                      <w:sz w:val="21"/>
                    </w:rPr>
                    <w:t>2-甲</w:t>
                  </w:r>
                  <w:r>
                    <w:br/>
                  </w:r>
                  <w:r>
                    <w:rPr>
                      <w:rFonts w:ascii="仿宋_GB2312" w:hAnsi="仿宋_GB2312" w:cs="仿宋_GB2312" w:eastAsia="仿宋_GB2312"/>
                      <w:sz w:val="21"/>
                    </w:rPr>
                    <w:t>基异莰醇</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顶空固相微萃取</w:t>
                  </w:r>
                  <w:r>
                    <w:rPr>
                      <w:rFonts w:ascii="仿宋_GB2312" w:hAnsi="仿宋_GB2312" w:cs="仿宋_GB2312" w:eastAsia="仿宋_GB2312"/>
                      <w:sz w:val="21"/>
                    </w:rPr>
                    <w:t>-气相色谱-质谱法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GB/T5750.8—2023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灭草松</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高效液相色谱</w:t>
                  </w:r>
                  <w:r>
                    <w:rPr>
                      <w:rFonts w:ascii="仿宋_GB2312" w:hAnsi="仿宋_GB2312" w:cs="仿宋_GB2312" w:eastAsia="仿宋_GB2312"/>
                      <w:sz w:val="21"/>
                    </w:rPr>
                    <w:t>-三重四极杆质谱法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液液萃取气相色谱法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2,4-滴</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液相色谱</w:t>
                  </w:r>
                  <w:r>
                    <w:rPr>
                      <w:rFonts w:ascii="仿宋_GB2312" w:hAnsi="仿宋_GB2312" w:cs="仿宋_GB2312" w:eastAsia="仿宋_GB2312"/>
                      <w:sz w:val="21"/>
                    </w:rPr>
                    <w:t>-三重四极杆质谱法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HJ770—2015</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高效液相色谱</w:t>
                  </w:r>
                  <w:r>
                    <w:rPr>
                      <w:rFonts w:ascii="仿宋_GB2312" w:hAnsi="仿宋_GB2312" w:cs="仿宋_GB2312" w:eastAsia="仿宋_GB2312"/>
                      <w:sz w:val="21"/>
                    </w:rPr>
                    <w:t>-三重四极杆质谱法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液液萃取气相色谱法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呋喃丹</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液相色谱</w:t>
                  </w:r>
                  <w:r>
                    <w:rPr>
                      <w:rFonts w:ascii="仿宋_GB2312" w:hAnsi="仿宋_GB2312" w:cs="仿宋_GB2312" w:eastAsia="仿宋_GB2312"/>
                      <w:sz w:val="21"/>
                    </w:rPr>
                    <w:t>-三重四极杆质谱法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HJ827—2017</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高效液相色谱</w:t>
                  </w:r>
                  <w:r>
                    <w:rPr>
                      <w:rFonts w:ascii="仿宋_GB2312" w:hAnsi="仿宋_GB2312" w:cs="仿宋_GB2312" w:eastAsia="仿宋_GB2312"/>
                      <w:sz w:val="21"/>
                    </w:rPr>
                    <w:t>-三重四极杆质谱法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毒死蜱</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HJ1189—2021</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液液萃取气相色谱法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草甘膦</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柱前衍生</w:t>
                  </w:r>
                  <w:r>
                    <w:rPr>
                      <w:rFonts w:ascii="仿宋_GB2312" w:hAnsi="仿宋_GB2312" w:cs="仿宋_GB2312" w:eastAsia="仿宋_GB2312"/>
                      <w:sz w:val="21"/>
                    </w:rPr>
                    <w:t>-高效液相色谱法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HJ1071—2019</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柱后衍生</w:t>
                  </w:r>
                  <w:r>
                    <w:rPr>
                      <w:rFonts w:ascii="仿宋_GB2312" w:hAnsi="仿宋_GB2312" w:cs="仿宋_GB2312" w:eastAsia="仿宋_GB2312"/>
                      <w:sz w:val="21"/>
                    </w:rPr>
                    <w:t>-高效液相色谱法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离子色谱法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r>
                    <w:br/>
                  </w:r>
                  <w:r>
                    <w:rPr>
                      <w:rFonts w:ascii="仿宋_GB2312" w:hAnsi="仿宋_GB2312" w:cs="仿宋_GB2312" w:eastAsia="仿宋_GB2312"/>
                      <w:sz w:val="21"/>
                    </w:rPr>
                    <w:t>CJ/T141—2018</w:t>
                  </w:r>
                </w:p>
              </w:tc>
            </w:tr>
            <w:tr>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38"/>
                  <w:vMerge w:val="restart"/>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七氯</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气相色谱</w:t>
                  </w:r>
                  <w:r>
                    <w:rPr>
                      <w:rFonts w:ascii="仿宋_GB2312" w:hAnsi="仿宋_GB2312" w:cs="仿宋_GB2312" w:eastAsia="仿宋_GB2312"/>
                      <w:sz w:val="21"/>
                    </w:rPr>
                    <w:t>-质谱法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HJ699—2014</w:t>
                  </w:r>
                </w:p>
              </w:tc>
            </w:tr>
            <w:tr>
              <w:tc>
                <w:tcPr>
                  <w:tcW w:type="dxa" w:w="638"/>
                  <w:vMerge/>
                  <w:tcBorders>
                    <w:top w:val="none" w:color="000000" w:sz="4"/>
                    <w:left w:val="single" w:color="474747" w:sz="4"/>
                    <w:bottom w:val="single" w:color="474747" w:sz="4"/>
                    <w:right w:val="single" w:color="474747" w:sz="4"/>
                  </w:tcBorders>
                </w:tcPr>
                <w:p/>
              </w:tc>
              <w:tc>
                <w:tcPr>
                  <w:tcW w:type="dxa" w:w="638"/>
                  <w:vMerge/>
                  <w:tcBorders>
                    <w:top w:val="none" w:color="000000" w:sz="4"/>
                    <w:left w:val="single" w:color="474747" w:sz="4"/>
                    <w:bottom w:val="single" w:color="474747" w:sz="4"/>
                    <w:right w:val="single" w:color="474747" w:sz="4"/>
                  </w:tcBorders>
                </w:tcP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液液萃取</w:t>
                  </w:r>
                  <w:r>
                    <w:rPr>
                      <w:rFonts w:ascii="仿宋_GB2312" w:hAnsi="仿宋_GB2312" w:cs="仿宋_GB2312" w:eastAsia="仿宋_GB2312"/>
                      <w:sz w:val="21"/>
                    </w:rPr>
                    <w:t>-气相色谱法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乙草胺</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气相色谱质谱法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GB/T5750.9—2023</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氯酸盐、亚氯</w:t>
                  </w:r>
                  <w:r>
                    <w:br/>
                  </w:r>
                  <w:r>
                    <w:rPr>
                      <w:rFonts w:ascii="仿宋_GB2312" w:hAnsi="仿宋_GB2312" w:cs="仿宋_GB2312" w:eastAsia="仿宋_GB2312"/>
                      <w:sz w:val="21"/>
                    </w:rPr>
                    <w:t>酸盐、溴酸盐、</w:t>
                  </w:r>
                  <w:r>
                    <w:br/>
                  </w:r>
                  <w:r>
                    <w:rPr>
                      <w:rFonts w:ascii="仿宋_GB2312" w:hAnsi="仿宋_GB2312" w:cs="仿宋_GB2312" w:eastAsia="仿宋_GB2312"/>
                      <w:sz w:val="21"/>
                    </w:rPr>
                    <w:t>二氯乙酸和三</w:t>
                  </w:r>
                  <w:r>
                    <w:br/>
                  </w:r>
                  <w:r>
                    <w:rPr>
                      <w:rFonts w:ascii="仿宋_GB2312" w:hAnsi="仿宋_GB2312" w:cs="仿宋_GB2312" w:eastAsia="仿宋_GB2312"/>
                      <w:sz w:val="21"/>
                    </w:rPr>
                    <w:t>氯乙酸</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离子色谱法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HJ1050—2019</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w:t>
                  </w:r>
                  <w:r>
                    <w:rPr>
                      <w:rFonts w:ascii="仿宋_GB2312" w:hAnsi="仿宋_GB2312" w:cs="仿宋_GB2312" w:eastAsia="仿宋_GB2312"/>
                      <w:sz w:val="21"/>
                    </w:rPr>
                    <w:t>α放射性</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厚源法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HJ898—2017</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w:t>
                  </w:r>
                  <w:r>
                    <w:rPr>
                      <w:rFonts w:ascii="仿宋_GB2312" w:hAnsi="仿宋_GB2312" w:cs="仿宋_GB2312" w:eastAsia="仿宋_GB2312"/>
                      <w:sz w:val="21"/>
                    </w:rPr>
                    <w:t>β放射性</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厚源法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HJ899—2017</w:t>
                  </w:r>
                </w:p>
              </w:tc>
            </w:tr>
            <w:tr>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全氟己基磺酸、全氟辛酸</w:t>
                  </w:r>
                  <w:r>
                    <w:rPr>
                      <w:rFonts w:ascii="仿宋_GB2312" w:hAnsi="仿宋_GB2312" w:cs="仿宋_GB2312" w:eastAsia="仿宋_GB2312"/>
                      <w:sz w:val="21"/>
                    </w:rPr>
                    <w:t>和全氟辛基磺酸及其盐类</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液相色谱</w:t>
                  </w:r>
                  <w:r>
                    <w:rPr>
                      <w:rFonts w:ascii="仿宋_GB2312" w:hAnsi="仿宋_GB2312" w:cs="仿宋_GB2312" w:eastAsia="仿宋_GB2312"/>
                      <w:sz w:val="21"/>
                    </w:rPr>
                    <w:t>-三重四极杆质谱法</w:t>
                  </w:r>
                </w:p>
              </w:tc>
              <w:tc>
                <w:tcPr>
                  <w:tcW w:type="dxa" w:w="638"/>
                  <w:tcBorders>
                    <w:top w:val="none" w:color="000000" w:sz="4"/>
                    <w:left w:val="single" w:color="474747" w:sz="4"/>
                    <w:bottom w:val="single" w:color="474747" w:sz="4"/>
                    <w:right w:val="single" w:color="474747"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《水质全氟辛基磺酸和全氟辛酸及其盐类的测定同位素稀释</w:t>
                  </w:r>
                  <w:r>
                    <w:rPr>
                      <w:rFonts w:ascii="仿宋_GB2312" w:hAnsi="仿宋_GB2312" w:cs="仿宋_GB2312" w:eastAsia="仿宋_GB2312"/>
                      <w:sz w:val="21"/>
                    </w:rPr>
                    <w:t>/液相色谱-三重四</w:t>
                  </w:r>
                  <w:r>
                    <w:rPr>
                      <w:rFonts w:ascii="仿宋_GB2312" w:hAnsi="仿宋_GB2312" w:cs="仿宋_GB2312" w:eastAsia="仿宋_GB2312"/>
                      <w:sz w:val="21"/>
                    </w:rPr>
                    <w:t>极杆质谱法》（</w:t>
                  </w:r>
                  <w:r>
                    <w:rPr>
                      <w:rFonts w:ascii="仿宋_GB2312" w:hAnsi="仿宋_GB2312" w:cs="仿宋_GB2312" w:eastAsia="仿宋_GB2312"/>
                      <w:sz w:val="21"/>
                    </w:rPr>
                    <w:t>HJ1333—2023）</w:t>
                  </w:r>
                  <w:r>
                    <w:br/>
                  </w:r>
                  <w:r>
                    <w:rPr>
                      <w:rFonts w:ascii="仿宋_GB2312" w:hAnsi="仿宋_GB2312" w:cs="仿宋_GB2312" w:eastAsia="仿宋_GB2312"/>
                      <w:sz w:val="21"/>
                    </w:rPr>
                    <w:t>《水质</w:t>
                  </w:r>
                  <w:r>
                    <w:rPr>
                      <w:rFonts w:ascii="仿宋_GB2312" w:hAnsi="仿宋_GB2312" w:cs="仿宋_GB2312" w:eastAsia="仿宋_GB2312"/>
                      <w:sz w:val="21"/>
                    </w:rPr>
                    <w:t>17种全氟化合物的测定高效液相色谱串联质谱法》（DB32/T4004—2021）</w:t>
                  </w:r>
                  <w:r>
                    <w:br/>
                  </w:r>
                  <w:r>
                    <w:rPr>
                      <w:rFonts w:ascii="仿宋_GB2312" w:hAnsi="仿宋_GB2312" w:cs="仿宋_GB2312" w:eastAsia="仿宋_GB2312"/>
                      <w:sz w:val="21"/>
                    </w:rPr>
                    <w:t>《新污染物调查监测试点样品采集流转和保存技术规定（水质全氟化合物的测定</w:t>
                  </w:r>
                  <w:r>
                    <w:rPr>
                      <w:rFonts w:ascii="仿宋_GB2312" w:hAnsi="仿宋_GB2312" w:cs="仿宋_GB2312" w:eastAsia="仿宋_GB2312"/>
                      <w:sz w:val="21"/>
                    </w:rPr>
                    <w:t>固相萃取</w:t>
                  </w:r>
                  <w:r>
                    <w:rPr>
                      <w:rFonts w:ascii="仿宋_GB2312" w:hAnsi="仿宋_GB2312" w:cs="仿宋_GB2312" w:eastAsia="仿宋_GB2312"/>
                      <w:sz w:val="21"/>
                    </w:rPr>
                    <w:t>/液相色谱-三重四极杆质谱法）》</w:t>
                  </w:r>
                </w:p>
              </w:tc>
            </w:tr>
          </w:tbl>
          <w:p>
            <w:pPr>
              <w:pStyle w:val="null3"/>
              <w:jc w:val="left"/>
            </w:pPr>
            <w:r>
              <w:rPr>
                <w:rFonts w:ascii="仿宋_GB2312" w:hAnsi="仿宋_GB2312" w:cs="仿宋_GB2312" w:eastAsia="仿宋_GB2312"/>
                <w:sz w:val="21"/>
              </w:rPr>
              <w:t>4.时限要求：</w:t>
            </w:r>
            <w:r>
              <w:rPr>
                <w:rFonts w:ascii="仿宋_GB2312" w:hAnsi="仿宋_GB2312" w:cs="仿宋_GB2312" w:eastAsia="仿宋_GB2312"/>
                <w:sz w:val="21"/>
              </w:rPr>
              <w:t>9月底前完成所有点位采样和分析工作。监测结果</w:t>
            </w:r>
            <w:r>
              <w:rPr>
                <w:rFonts w:ascii="仿宋_GB2312" w:hAnsi="仿宋_GB2312" w:cs="仿宋_GB2312" w:eastAsia="仿宋_GB2312"/>
                <w:sz w:val="21"/>
              </w:rPr>
              <w:t>按照</w:t>
            </w:r>
            <w:r>
              <w:rPr>
                <w:rFonts w:ascii="仿宋_GB2312" w:hAnsi="仿宋_GB2312" w:cs="仿宋_GB2312" w:eastAsia="仿宋_GB2312"/>
                <w:sz w:val="21"/>
              </w:rPr>
              <w:t>《生活饮用水卫生标准》（</w:t>
            </w:r>
            <w:r>
              <w:rPr>
                <w:rFonts w:ascii="仿宋_GB2312" w:hAnsi="仿宋_GB2312" w:cs="仿宋_GB2312" w:eastAsia="仿宋_GB2312"/>
                <w:sz w:val="21"/>
              </w:rPr>
              <w:t>GB5749-2022）进行评价并</w:t>
            </w:r>
            <w:r>
              <w:rPr>
                <w:rFonts w:ascii="仿宋_GB2312" w:hAnsi="仿宋_GB2312" w:cs="仿宋_GB2312" w:eastAsia="仿宋_GB2312"/>
                <w:sz w:val="21"/>
              </w:rPr>
              <w:t>出具监测报告。如有超标项目，需重新采样复测进行确认。</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专项调查报告编制</w:t>
            </w:r>
          </w:p>
          <w:p>
            <w:pPr>
              <w:pStyle w:val="null3"/>
              <w:ind w:firstLine="420"/>
            </w:pPr>
            <w:r>
              <w:rPr>
                <w:rFonts w:ascii="仿宋_GB2312" w:hAnsi="仿宋_GB2312" w:cs="仿宋_GB2312" w:eastAsia="仿宋_GB2312"/>
                <w:sz w:val="21"/>
              </w:rPr>
              <w:t>10月</w:t>
            </w:r>
            <w:r>
              <w:rPr>
                <w:rFonts w:ascii="仿宋_GB2312" w:hAnsi="仿宋_GB2312" w:cs="仿宋_GB2312" w:eastAsia="仿宋_GB2312"/>
                <w:sz w:val="21"/>
              </w:rPr>
              <w:t>15日</w:t>
            </w:r>
            <w:r>
              <w:rPr>
                <w:rFonts w:ascii="仿宋_GB2312" w:hAnsi="仿宋_GB2312" w:cs="仿宋_GB2312" w:eastAsia="仿宋_GB2312"/>
                <w:sz w:val="21"/>
              </w:rPr>
              <w:t>前，</w:t>
            </w:r>
            <w:r>
              <w:rPr>
                <w:rFonts w:ascii="仿宋_GB2312" w:hAnsi="仿宋_GB2312" w:cs="仿宋_GB2312" w:eastAsia="仿宋_GB2312"/>
                <w:sz w:val="21"/>
              </w:rPr>
              <w:t>将各区县提供的单个水源地专项报告</w:t>
            </w:r>
            <w:r>
              <w:rPr>
                <w:rFonts w:ascii="仿宋_GB2312" w:hAnsi="仿宋_GB2312" w:cs="仿宋_GB2312" w:eastAsia="仿宋_GB2312"/>
                <w:sz w:val="21"/>
              </w:rPr>
              <w:t>汇编成西安市集中式饮用水水源专项调查报告（</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年度）</w:t>
            </w:r>
            <w:r>
              <w:rPr>
                <w:rFonts w:ascii="仿宋_GB2312" w:hAnsi="仿宋_GB2312" w:cs="仿宋_GB2312" w:eastAsia="仿宋_GB2312"/>
                <w:sz w:val="21"/>
              </w:rPr>
              <w:t>。</w:t>
            </w:r>
          </w:p>
          <w:p>
            <w:pPr>
              <w:pStyle w:val="null3"/>
            </w:pPr>
            <w:r>
              <w:rPr>
                <w:rFonts w:ascii="仿宋_GB2312" w:hAnsi="仿宋_GB2312" w:cs="仿宋_GB2312" w:eastAsia="仿宋_GB2312"/>
                <w:sz w:val="21"/>
              </w:rPr>
              <w:t>（三）</w:t>
            </w:r>
            <w:r>
              <w:rPr>
                <w:rFonts w:ascii="仿宋_GB2312" w:hAnsi="仿宋_GB2312" w:cs="仿宋_GB2312" w:eastAsia="仿宋_GB2312"/>
                <w:sz w:val="21"/>
              </w:rPr>
              <w:t>数据上报</w:t>
            </w:r>
          </w:p>
          <w:p>
            <w:pPr>
              <w:pStyle w:val="null3"/>
            </w:pPr>
            <w:r>
              <w:rPr>
                <w:rFonts w:ascii="仿宋_GB2312" w:hAnsi="仿宋_GB2312" w:cs="仿宋_GB2312" w:eastAsia="仿宋_GB2312"/>
                <w:sz w:val="21"/>
              </w:rPr>
              <w:t>10月</w:t>
            </w:r>
            <w:r>
              <w:rPr>
                <w:rFonts w:ascii="仿宋_GB2312" w:hAnsi="仿宋_GB2312" w:cs="仿宋_GB2312" w:eastAsia="仿宋_GB2312"/>
                <w:sz w:val="21"/>
              </w:rPr>
              <w:t>15日</w:t>
            </w:r>
            <w:r>
              <w:rPr>
                <w:rFonts w:ascii="仿宋_GB2312" w:hAnsi="仿宋_GB2312" w:cs="仿宋_GB2312" w:eastAsia="仿宋_GB2312"/>
                <w:sz w:val="21"/>
              </w:rPr>
              <w:t>前</w:t>
            </w:r>
            <w:r>
              <w:rPr>
                <w:rFonts w:ascii="仿宋_GB2312" w:hAnsi="仿宋_GB2312" w:cs="仿宋_GB2312" w:eastAsia="仿宋_GB2312"/>
                <w:sz w:val="21"/>
              </w:rPr>
              <w:t>，按照甲方要求</w:t>
            </w:r>
            <w:r>
              <w:rPr>
                <w:rFonts w:ascii="仿宋_GB2312" w:hAnsi="仿宋_GB2312" w:cs="仿宋_GB2312" w:eastAsia="仿宋_GB2312"/>
                <w:sz w:val="21"/>
              </w:rPr>
              <w:t>完成</w:t>
            </w:r>
            <w:r>
              <w:rPr>
                <w:rFonts w:ascii="仿宋_GB2312" w:hAnsi="仿宋_GB2312" w:cs="仿宋_GB2312" w:eastAsia="仿宋_GB2312"/>
                <w:sz w:val="21"/>
              </w:rPr>
              <w:t>各区县提供的全分析</w:t>
            </w:r>
            <w:r>
              <w:rPr>
                <w:rFonts w:ascii="仿宋_GB2312" w:hAnsi="仿宋_GB2312" w:cs="仿宋_GB2312" w:eastAsia="仿宋_GB2312"/>
                <w:sz w:val="21"/>
              </w:rPr>
              <w:t>监测数据</w:t>
            </w:r>
            <w:r>
              <w:rPr>
                <w:rFonts w:ascii="仿宋_GB2312" w:hAnsi="仿宋_GB2312" w:cs="仿宋_GB2312" w:eastAsia="仿宋_GB2312"/>
                <w:sz w:val="21"/>
              </w:rPr>
              <w:t>和本项目</w:t>
            </w:r>
            <w:r>
              <w:rPr>
                <w:rFonts w:ascii="仿宋_GB2312" w:hAnsi="仿宋_GB2312" w:cs="仿宋_GB2312" w:eastAsia="仿宋_GB2312"/>
                <w:sz w:val="21"/>
              </w:rPr>
              <w:t>监测数据的网上填报及</w:t>
            </w:r>
            <w:r>
              <w:rPr>
                <w:rFonts w:ascii="仿宋_GB2312" w:hAnsi="仿宋_GB2312" w:cs="仿宋_GB2312" w:eastAsia="仿宋_GB2312"/>
                <w:sz w:val="21"/>
              </w:rPr>
              <w:t>报告</w:t>
            </w:r>
            <w:r>
              <w:rPr>
                <w:rFonts w:ascii="仿宋_GB2312" w:hAnsi="仿宋_GB2312" w:cs="仿宋_GB2312" w:eastAsia="仿宋_GB2312"/>
                <w:sz w:val="21"/>
              </w:rPr>
              <w:t>上传工作</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技术要求</w:t>
            </w:r>
          </w:p>
          <w:p>
            <w:pPr>
              <w:pStyle w:val="null3"/>
              <w:jc w:val="left"/>
            </w:pPr>
            <w:r>
              <w:rPr>
                <w:rFonts w:ascii="仿宋_GB2312" w:hAnsi="仿宋_GB2312" w:cs="仿宋_GB2312" w:eastAsia="仿宋_GB2312"/>
                <w:sz w:val="21"/>
              </w:rPr>
              <w:t>提交的监测报告应至少包括以下信息：</w:t>
            </w:r>
          </w:p>
          <w:p>
            <w:pPr>
              <w:pStyle w:val="null3"/>
              <w:jc w:val="left"/>
            </w:pPr>
            <w:r>
              <w:rPr>
                <w:rFonts w:ascii="仿宋_GB2312" w:hAnsi="仿宋_GB2312" w:cs="仿宋_GB2312" w:eastAsia="仿宋_GB2312"/>
                <w:sz w:val="21"/>
              </w:rPr>
              <w:t>1.报告的标识-编号；</w:t>
            </w:r>
          </w:p>
          <w:p>
            <w:pPr>
              <w:pStyle w:val="null3"/>
              <w:jc w:val="left"/>
            </w:pPr>
            <w:r>
              <w:rPr>
                <w:rFonts w:ascii="仿宋_GB2312" w:hAnsi="仿宋_GB2312" w:cs="仿宋_GB2312" w:eastAsia="仿宋_GB2312"/>
                <w:sz w:val="21"/>
              </w:rPr>
              <w:t>2.监测日期和编制报告的日期；</w:t>
            </w:r>
          </w:p>
          <w:p>
            <w:pPr>
              <w:pStyle w:val="null3"/>
              <w:jc w:val="left"/>
            </w:pPr>
            <w:r>
              <w:rPr>
                <w:rFonts w:ascii="仿宋_GB2312" w:hAnsi="仿宋_GB2312" w:cs="仿宋_GB2312" w:eastAsia="仿宋_GB2312"/>
                <w:sz w:val="21"/>
              </w:rPr>
              <w:t>3.监测依据及监测目的；</w:t>
            </w:r>
          </w:p>
          <w:p>
            <w:pPr>
              <w:pStyle w:val="null3"/>
              <w:jc w:val="left"/>
            </w:pPr>
            <w:r>
              <w:rPr>
                <w:rFonts w:ascii="仿宋_GB2312" w:hAnsi="仿宋_GB2312" w:cs="仿宋_GB2312" w:eastAsia="仿宋_GB2312"/>
                <w:sz w:val="21"/>
              </w:rPr>
              <w:t>4.分析项目及分析方法；</w:t>
            </w:r>
          </w:p>
          <w:p>
            <w:pPr>
              <w:pStyle w:val="null3"/>
              <w:jc w:val="left"/>
            </w:pPr>
            <w:r>
              <w:rPr>
                <w:rFonts w:ascii="仿宋_GB2312" w:hAnsi="仿宋_GB2312" w:cs="仿宋_GB2312" w:eastAsia="仿宋_GB2312"/>
                <w:sz w:val="21"/>
              </w:rPr>
              <w:t>5.监测所用的主要设备、仪器等；</w:t>
            </w:r>
          </w:p>
          <w:p>
            <w:pPr>
              <w:pStyle w:val="null3"/>
              <w:jc w:val="left"/>
            </w:pPr>
            <w:r>
              <w:rPr>
                <w:rFonts w:ascii="仿宋_GB2312" w:hAnsi="仿宋_GB2312" w:cs="仿宋_GB2312" w:eastAsia="仿宋_GB2312"/>
                <w:sz w:val="21"/>
              </w:rPr>
              <w:t>6.监测结果；</w:t>
            </w:r>
          </w:p>
          <w:p>
            <w:pPr>
              <w:pStyle w:val="null3"/>
              <w:jc w:val="left"/>
            </w:pPr>
            <w:r>
              <w:rPr>
                <w:rFonts w:ascii="仿宋_GB2312" w:hAnsi="仿宋_GB2312" w:cs="仿宋_GB2312" w:eastAsia="仿宋_GB2312"/>
                <w:sz w:val="21"/>
              </w:rPr>
              <w:t>7.测试单位；</w:t>
            </w:r>
          </w:p>
          <w:p>
            <w:pPr>
              <w:pStyle w:val="null3"/>
              <w:jc w:val="left"/>
            </w:pPr>
            <w:r>
              <w:rPr>
                <w:rFonts w:ascii="仿宋_GB2312" w:hAnsi="仿宋_GB2312" w:cs="仿宋_GB2312" w:eastAsia="仿宋_GB2312"/>
                <w:sz w:val="21"/>
              </w:rPr>
              <w:t>8.报告签发要求三级审核；</w:t>
            </w:r>
          </w:p>
          <w:p>
            <w:pPr>
              <w:pStyle w:val="null3"/>
              <w:jc w:val="left"/>
            </w:pPr>
            <w:r>
              <w:rPr>
                <w:rFonts w:ascii="仿宋_GB2312" w:hAnsi="仿宋_GB2312" w:cs="仿宋_GB2312" w:eastAsia="仿宋_GB2312"/>
                <w:sz w:val="21"/>
              </w:rPr>
              <w:t>9.出具正式报告及监测数据单；</w:t>
            </w:r>
          </w:p>
          <w:p>
            <w:pPr>
              <w:pStyle w:val="null3"/>
              <w:jc w:val="left"/>
            </w:pPr>
            <w:r>
              <w:rPr>
                <w:rFonts w:ascii="仿宋_GB2312" w:hAnsi="仿宋_GB2312" w:cs="仿宋_GB2312" w:eastAsia="仿宋_GB2312"/>
                <w:sz w:val="21"/>
              </w:rPr>
              <w:t>10.完整的现场采样、实验室分析及质控记录；</w:t>
            </w:r>
          </w:p>
          <w:p>
            <w:pPr>
              <w:pStyle w:val="null3"/>
            </w:pPr>
            <w:r>
              <w:rPr>
                <w:rFonts w:ascii="仿宋_GB2312" w:hAnsi="仿宋_GB2312" w:cs="仿宋_GB2312" w:eastAsia="仿宋_GB2312"/>
                <w:sz w:val="21"/>
              </w:rPr>
              <w:t>11.监测报告中须对监测的指标对照相应标准进行结果评价。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1、质量保证：承接本次监测的组织机构、监测人员、监测仪器与设备设施等，应符合RB/T214、HJ630、《检验检测机构资质认定生态环境监测机构评审补充要求》(市场监管总局国市监检测(2018)245号)等相关内容。</w:t>
            </w:r>
          </w:p>
          <w:p>
            <w:pPr>
              <w:pStyle w:val="null3"/>
              <w:jc w:val="left"/>
            </w:pPr>
            <w:r>
              <w:rPr>
                <w:rFonts w:ascii="仿宋_GB2312" w:hAnsi="仿宋_GB2312" w:cs="仿宋_GB2312" w:eastAsia="仿宋_GB2312"/>
                <w:sz w:val="21"/>
              </w:rPr>
              <w:t>2、质量控制：承接单位按照《全国集中式饮用水水源水质专项调查作业指导书(2024—2026年)》（中国环境监测总站）、《环境监测质量管理技术导则》(HJ630-2011)，以及相应标准分析方法的规定和要求，做好监测分析全程序质控工作，包括采样质量控制和实验室分析质量控制等相关内容，按照相关技术规范要求进行样品保存。</w:t>
            </w:r>
          </w:p>
          <w:p>
            <w:pPr>
              <w:pStyle w:val="null3"/>
              <w:jc w:val="left"/>
            </w:pPr>
            <w:r>
              <w:rPr>
                <w:rFonts w:ascii="仿宋_GB2312" w:hAnsi="仿宋_GB2312" w:cs="仿宋_GB2312" w:eastAsia="仿宋_GB2312"/>
                <w:sz w:val="21"/>
              </w:rPr>
              <w:t>3.内部质控：①现场监测需遵守《全国集中式饮用水水源水质专项调查作业指导书(2024—2026年)》（中国环境监测总站）要求，pH、溶解氧、电导率、水温需现场测定，同时做好现场设备校准，需按照每批次10%的比例采集全程序空白样、现场明码、密码平行样等现场质控样品；②实验室分析每批次需按照10%的比例开展实验室空白、平行样、加标样或明码、密码质控样等自控程序，做好分析质量保证工作，质控数据需满足项目标准方法中质控结果要求。</w:t>
            </w:r>
          </w:p>
          <w:p>
            <w:pPr>
              <w:pStyle w:val="null3"/>
              <w:jc w:val="left"/>
            </w:pPr>
            <w:r>
              <w:rPr>
                <w:rFonts w:ascii="仿宋_GB2312" w:hAnsi="仿宋_GB2312" w:cs="仿宋_GB2312" w:eastAsia="仿宋_GB2312"/>
                <w:sz w:val="21"/>
              </w:rPr>
              <w:t>4.外部质控：需接受市监测站不定期现场质量监督和盲样考核。</w:t>
            </w:r>
          </w:p>
          <w:p>
            <w:pPr>
              <w:pStyle w:val="null3"/>
              <w:jc w:val="left"/>
            </w:pPr>
            <w:r>
              <w:rPr>
                <w:rFonts w:ascii="仿宋_GB2312" w:hAnsi="仿宋_GB2312" w:cs="仿宋_GB2312" w:eastAsia="仿宋_GB2312"/>
                <w:sz w:val="21"/>
              </w:rPr>
              <w:t>5.保留监测全过程的影像资料，影像资料应能完整呈现样品采样、贮存、交接、预处理、分析全过程。</w:t>
            </w:r>
          </w:p>
          <w:p>
            <w:pPr>
              <w:pStyle w:val="null3"/>
            </w:pPr>
            <w:r>
              <w:rPr>
                <w:rFonts w:ascii="仿宋_GB2312" w:hAnsi="仿宋_GB2312" w:cs="仿宋_GB2312" w:eastAsia="仿宋_GB2312"/>
                <w:sz w:val="21"/>
              </w:rPr>
              <w:t>6.保密要求：本项目所产生或涉及的全部数据均属保密信息，未经权利方事先书面许可，任何一方不得以任何形式向第三方披露、转让或用于本合同约定范围之外的用途。违反本条规定的，违约方应承担由此产生的一切法律责任及经济损失。</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验收要求</w:t>
            </w:r>
          </w:p>
          <w:p>
            <w:pPr>
              <w:pStyle w:val="null3"/>
            </w:pPr>
            <w:r>
              <w:rPr>
                <w:rFonts w:ascii="仿宋_GB2312" w:hAnsi="仿宋_GB2312" w:cs="仿宋_GB2312" w:eastAsia="仿宋_GB2312"/>
                <w:sz w:val="21"/>
              </w:rPr>
              <w:t>（一）本项目验收费用，由乙方自行承担。</w:t>
            </w:r>
          </w:p>
          <w:p>
            <w:pPr>
              <w:pStyle w:val="null3"/>
            </w:pPr>
            <w:r>
              <w:rPr>
                <w:rFonts w:ascii="仿宋_GB2312" w:hAnsi="仿宋_GB2312" w:cs="仿宋_GB2312" w:eastAsia="仿宋_GB2312"/>
                <w:sz w:val="21"/>
              </w:rPr>
              <w:t>（二）服务期满后，由乙方向甲方递交验收通知书，经甲方确认后，组织乙方进行系统验收（必要时甲方可委托技术专家对本次服务进行系统验收）。验收合格后，填写政府采购项目验收单作为对本次服务的最终认可。</w:t>
            </w:r>
          </w:p>
          <w:p>
            <w:pPr>
              <w:pStyle w:val="null3"/>
            </w:pPr>
            <w:r>
              <w:rPr>
                <w:rFonts w:ascii="仿宋_GB2312" w:hAnsi="仿宋_GB2312" w:cs="仿宋_GB2312" w:eastAsia="仿宋_GB2312"/>
                <w:sz w:val="21"/>
              </w:rPr>
              <w:t>（三）验收依据：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1）本合同及附加文本；</w:t>
            </w:r>
          </w:p>
          <w:p>
            <w:pPr>
              <w:pStyle w:val="null3"/>
            </w:pPr>
            <w:r>
              <w:rPr>
                <w:rFonts w:ascii="仿宋_GB2312" w:hAnsi="仿宋_GB2312" w:cs="仿宋_GB2312" w:eastAsia="仿宋_GB2312"/>
                <w:sz w:val="21"/>
              </w:rPr>
              <w:t>（</w:t>
            </w:r>
            <w:r>
              <w:rPr>
                <w:rFonts w:ascii="仿宋_GB2312" w:hAnsi="仿宋_GB2312" w:cs="仿宋_GB2312" w:eastAsia="仿宋_GB2312"/>
                <w:sz w:val="21"/>
              </w:rPr>
              <w:t>2）磋商文件、成交供应商的响应文件及澄清（承诺）函；</w:t>
            </w:r>
          </w:p>
          <w:p>
            <w:pPr>
              <w:pStyle w:val="null3"/>
            </w:pPr>
            <w:r>
              <w:rPr>
                <w:rFonts w:ascii="仿宋_GB2312" w:hAnsi="仿宋_GB2312" w:cs="仿宋_GB2312" w:eastAsia="仿宋_GB2312"/>
                <w:sz w:val="21"/>
              </w:rPr>
              <w:t>（</w:t>
            </w:r>
            <w:r>
              <w:rPr>
                <w:rFonts w:ascii="仿宋_GB2312" w:hAnsi="仿宋_GB2312" w:cs="仿宋_GB2312" w:eastAsia="仿宋_GB2312"/>
                <w:sz w:val="21"/>
              </w:rPr>
              <w:t>3）国家相应的标准、规范；</w:t>
            </w:r>
          </w:p>
          <w:p>
            <w:pPr>
              <w:pStyle w:val="null3"/>
            </w:pPr>
            <w:r>
              <w:rPr>
                <w:rFonts w:ascii="仿宋_GB2312" w:hAnsi="仿宋_GB2312" w:cs="仿宋_GB2312" w:eastAsia="仿宋_GB2312"/>
                <w:sz w:val="21"/>
              </w:rPr>
              <w:t>（</w:t>
            </w:r>
            <w:r>
              <w:rPr>
                <w:rFonts w:ascii="仿宋_GB2312" w:hAnsi="仿宋_GB2312" w:cs="仿宋_GB2312" w:eastAsia="仿宋_GB2312"/>
                <w:sz w:val="21"/>
              </w:rPr>
              <w:t>4）监测报告原件（同时提交扫描件）；</w:t>
            </w:r>
          </w:p>
          <w:p>
            <w:pPr>
              <w:pStyle w:val="null3"/>
            </w:pPr>
            <w:r>
              <w:rPr>
                <w:rFonts w:ascii="仿宋_GB2312" w:hAnsi="仿宋_GB2312" w:cs="仿宋_GB2312" w:eastAsia="仿宋_GB2312"/>
                <w:sz w:val="21"/>
              </w:rPr>
              <w:t>（</w:t>
            </w:r>
            <w:r>
              <w:rPr>
                <w:rFonts w:ascii="仿宋_GB2312" w:hAnsi="仿宋_GB2312" w:cs="仿宋_GB2312" w:eastAsia="仿宋_GB2312"/>
                <w:sz w:val="21"/>
              </w:rPr>
              <w:t>5）原始记录复印件（同时提交扫描件）；</w:t>
            </w:r>
          </w:p>
          <w:p>
            <w:pPr>
              <w:pStyle w:val="null3"/>
            </w:pPr>
            <w:r>
              <w:rPr>
                <w:rFonts w:ascii="仿宋_GB2312" w:hAnsi="仿宋_GB2312" w:cs="仿宋_GB2312" w:eastAsia="仿宋_GB2312"/>
                <w:sz w:val="21"/>
              </w:rPr>
              <w:t>（</w:t>
            </w:r>
            <w:r>
              <w:rPr>
                <w:rFonts w:ascii="仿宋_GB2312" w:hAnsi="仿宋_GB2312" w:cs="仿宋_GB2312" w:eastAsia="仿宋_GB2312"/>
                <w:sz w:val="21"/>
              </w:rPr>
              <w:t>6）验收报告（含质控措施开展情况，仪器、人员合规情况等能够证明合同履约情况的说明及附件）。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合同签订之日起至2025年10月15日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第二次付款为服务期结束，资料完整，按照合同要求进行验收，验收通过后，供应商开具相应正式发票后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检测服务费、管理费、社保费、税金等其他一切相关费用。任何有选择的报价将不予接受，否则按无效磋商处理。 （2）项目属性：服务。 （3）本项目所属行业为：其他未列明行业,根据《工业和信息化部 国家统计局国家发展和改革委员会 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2023 年度或2024年度的财务审计报告或开标前3 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供应商具有省级及以上质量技术监督部门颁发的检验检测机构资质认定证书（CMA）；</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资格证明文件 业绩 标的清单 陕西省政府采购供应商拒绝政府采购领域商业贿赂承诺书 报价表 其他说明 响应函 商务条款偏离表 磋商方案说明书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针对项目监测方面有具体、详细的方案，建立完善的技术支持体系。 项目总体目标明确，进度安排合理，项目各阶段实施方案安排合理、清晰、可行得10-15分；项目总体目标较明确，进度安排较合理，项目各阶段实施方案安排较合理、清晰、可行得5-10分；项目总体目标不明确，进度安排不合理，项目各阶段实施方案安排不合理、清晰、可行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监测方案</w:t>
            </w:r>
          </w:p>
        </w:tc>
        <w:tc>
          <w:tcPr>
            <w:tcW w:type="dxa" w:w="2492"/>
          </w:tcPr>
          <w:p>
            <w:pPr>
              <w:pStyle w:val="null3"/>
            </w:pPr>
            <w:r>
              <w:rPr>
                <w:rFonts w:ascii="仿宋_GB2312" w:hAnsi="仿宋_GB2312" w:cs="仿宋_GB2312" w:eastAsia="仿宋_GB2312"/>
              </w:rPr>
              <w:t>供应商针对项目的监测方案应满足以下要求：须提供监测布点方案及样品方案，监测布点方案中监测断面、点位布设须满足相关标准要求。 方案详细完整、科学合理可行，针对性强，完全符合项目特点及要求计10-15分；方案详细基本完整，针对性较强，基本符合项目特点及要求计5-10分；方案内容不完整、针对性一般计0-5分。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监测成果编制</w:t>
            </w:r>
          </w:p>
        </w:tc>
        <w:tc>
          <w:tcPr>
            <w:tcW w:type="dxa" w:w="2492"/>
          </w:tcPr>
          <w:p>
            <w:pPr>
              <w:pStyle w:val="null3"/>
            </w:pPr>
            <w:r>
              <w:rPr>
                <w:rFonts w:ascii="仿宋_GB2312" w:hAnsi="仿宋_GB2312" w:cs="仿宋_GB2312" w:eastAsia="仿宋_GB2312"/>
              </w:rPr>
              <w:t>分析并计算各监测点位监测因子的达标情况、超标项目及超标倍数，分析区域或水域水质问题并编制调查成果报告的方案。 成果报告编制架构规范，编制内容完整，附件资料详细，符合项目采购需求，计7-10分；成果报告编制架构较规范，编制内容相对完整，附件资料较详细，基本符合项目采购需求，计3-7分；成果报告编制架构规范性差，编制内容、附件资料有缺项，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规划项目的组织架构、沟通方式和工作职责，制定有效的管理制度、流程和辅助工具，根据响应程度，合理计3-5分；较合理得2-3分；不合理得0-2分。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对项目工作重点、难点认识准确，描述清晰，能对重难点提出针对性的解决方案的计3-5分。提供了常规、通用的项目需求分析,但分析内容有欠缺的计0-3分；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供应商有完善的管理体系、质量管理、项目保证措施等。要求针对本项目的质量保证体系健全、控制程序规范、保证措施得当，并对实施组织机构、人员安排有具体方案，分工合理、责任明确，能确保项目顺利实施，并能够确保随时接受甲方质控监督。 措施完善、体系健全、安排合理计6-9分；措施较完善、体系健全、工作安排考虑欠缺计3-6分；措施不完善、体系不健全、工作安排考虑欠缺计0-3分。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供应商提供针对本项目拟投入的项目团队成员（由具有环境、生态、水文地质等环保类相关专业技术人员组成）的情况说明及经验能力证明材料。 结构合理，项目成员具备实施经验，且成员间分工明确、职责清晰、任务具体。 人员配备齐全、分工合理、责任明确，计7-10分； 人员配备较全、分工较合理、责任较明确，计4-7分；人员配备不足、分工不合理、责任不明确，计0-4分。 注：需要提供身份证、职称证扫描件及磋商截止时间前六个月内任意一个月本单位社保缴存证明或劳动合同，未提供或提供不全本项不计分。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监测车辆</w:t>
            </w:r>
          </w:p>
        </w:tc>
        <w:tc>
          <w:tcPr>
            <w:tcW w:type="dxa" w:w="2492"/>
          </w:tcPr>
          <w:p>
            <w:pPr>
              <w:pStyle w:val="null3"/>
            </w:pPr>
            <w:r>
              <w:rPr>
                <w:rFonts w:ascii="仿宋_GB2312" w:hAnsi="仿宋_GB2312" w:cs="仿宋_GB2312" w:eastAsia="仿宋_GB2312"/>
              </w:rPr>
              <w:t>供应商需提供监测车辆，每提供1辆计2分，最高6分。 注：需提供相关车辆产权证明或租车协议证明资料，未提供或所提供资料不能证明的，不计分。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供应商提供近三年（2022年5月1日至今，以合同签订时间为准）的同类项目业绩，业绩以合同为依据，响应文件中附有其证明资料，每提供一个业绩证明计2.5分，满分10分。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供应商提出针对本项目实施的合理化建议，具体合理可行高得3-5分；供应商提出针对本项目实施的合理化建议，较为合理可行得0-3分。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