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EBB6B3">
      <w:pPr>
        <w:spacing w:line="360" w:lineRule="auto"/>
        <w:jc w:val="center"/>
        <w:rPr>
          <w:rFonts w:hint="eastAsia" w:ascii="仿宋" w:hAnsi="仿宋" w:eastAsia="仿宋"/>
          <w:b/>
          <w:color w:val="auto"/>
          <w:sz w:val="32"/>
          <w:szCs w:val="32"/>
          <w:highlight w:val="none"/>
        </w:rPr>
      </w:pPr>
      <w:bookmarkStart w:id="0" w:name="_Toc495014613"/>
      <w:bookmarkStart w:id="1" w:name="_Toc495014956"/>
      <w:bookmarkStart w:id="2" w:name="_Toc495012823"/>
      <w:bookmarkStart w:id="3" w:name="_Toc495012773"/>
      <w:bookmarkStart w:id="4" w:name="_Toc13809"/>
      <w:bookmarkStart w:id="5" w:name="_Toc495014651"/>
      <w:bookmarkStart w:id="6" w:name="_Toc495014587"/>
      <w:bookmarkStart w:id="7" w:name="_Toc445306495"/>
      <w:bookmarkStart w:id="8" w:name="_Toc495014922"/>
    </w:p>
    <w:p w14:paraId="59B1E96C">
      <w:pPr>
        <w:spacing w:line="360" w:lineRule="auto"/>
        <w:jc w:val="center"/>
        <w:rPr>
          <w:rFonts w:hint="eastAsia" w:ascii="仿宋" w:hAnsi="仿宋" w:eastAsia="仿宋"/>
          <w:b/>
          <w:color w:val="auto"/>
          <w:sz w:val="32"/>
          <w:szCs w:val="32"/>
          <w:highlight w:val="none"/>
        </w:rPr>
      </w:pPr>
    </w:p>
    <w:p w14:paraId="1BCC0683">
      <w:pPr>
        <w:spacing w:line="360" w:lineRule="auto"/>
        <w:jc w:val="center"/>
        <w:rPr>
          <w:rFonts w:ascii="仿宋" w:hAnsi="仿宋" w:eastAsia="仿宋"/>
          <w:b/>
          <w:color w:val="auto"/>
          <w:sz w:val="32"/>
          <w:szCs w:val="32"/>
          <w:highlight w:val="none"/>
        </w:rPr>
      </w:pPr>
      <w:r>
        <w:rPr>
          <w:rFonts w:hint="eastAsia" w:ascii="仿宋" w:hAnsi="仿宋" w:eastAsia="仿宋"/>
          <w:b/>
          <w:color w:val="auto"/>
          <w:sz w:val="32"/>
          <w:szCs w:val="32"/>
          <w:highlight w:val="none"/>
        </w:rPr>
        <w:t>西安市第三医院2025-2026年度</w:t>
      </w:r>
    </w:p>
    <w:p w14:paraId="726C506C">
      <w:pPr>
        <w:spacing w:line="360" w:lineRule="auto"/>
        <w:jc w:val="center"/>
        <w:rPr>
          <w:rFonts w:ascii="仿宋" w:hAnsi="仿宋" w:eastAsia="仿宋"/>
          <w:color w:val="auto"/>
          <w:sz w:val="32"/>
          <w:szCs w:val="32"/>
          <w:highlight w:val="none"/>
        </w:rPr>
      </w:pPr>
      <w:r>
        <w:rPr>
          <w:rFonts w:hint="eastAsia" w:ascii="仿宋" w:hAnsi="仿宋" w:eastAsia="仿宋"/>
          <w:b/>
          <w:color w:val="auto"/>
          <w:sz w:val="32"/>
          <w:szCs w:val="32"/>
          <w:highlight w:val="none"/>
        </w:rPr>
        <w:t>院内绿化维护及绿植花卉摆放</w:t>
      </w:r>
      <w:r>
        <w:rPr>
          <w:rFonts w:hint="eastAsia" w:ascii="仿宋" w:hAnsi="仿宋" w:eastAsia="仿宋"/>
          <w:b/>
          <w:color w:val="auto"/>
          <w:sz w:val="32"/>
          <w:szCs w:val="32"/>
          <w:highlight w:val="none"/>
          <w:lang w:val="en-US" w:eastAsia="zh-CN"/>
        </w:rPr>
        <w:t>服务</w:t>
      </w:r>
      <w:r>
        <w:rPr>
          <w:rFonts w:hint="eastAsia" w:ascii="仿宋" w:hAnsi="仿宋" w:eastAsia="仿宋"/>
          <w:b/>
          <w:color w:val="auto"/>
          <w:sz w:val="32"/>
          <w:szCs w:val="32"/>
          <w:highlight w:val="none"/>
        </w:rPr>
        <w:t>项目</w:t>
      </w:r>
    </w:p>
    <w:p w14:paraId="44F4FE02">
      <w:pPr>
        <w:spacing w:line="360" w:lineRule="auto"/>
        <w:jc w:val="center"/>
        <w:rPr>
          <w:rFonts w:ascii="仿宋" w:hAnsi="仿宋" w:eastAsia="仿宋"/>
          <w:color w:val="auto"/>
          <w:sz w:val="40"/>
          <w:highlight w:val="none"/>
        </w:rPr>
      </w:pPr>
    </w:p>
    <w:p w14:paraId="39272230">
      <w:pPr>
        <w:spacing w:line="360" w:lineRule="auto"/>
        <w:jc w:val="center"/>
        <w:rPr>
          <w:rFonts w:ascii="仿宋" w:hAnsi="仿宋" w:eastAsia="仿宋"/>
          <w:color w:val="auto"/>
          <w:sz w:val="40"/>
          <w:highlight w:val="none"/>
        </w:rPr>
      </w:pPr>
    </w:p>
    <w:p w14:paraId="334B63EB">
      <w:pPr>
        <w:spacing w:line="360" w:lineRule="auto"/>
        <w:jc w:val="center"/>
        <w:rPr>
          <w:rFonts w:ascii="仿宋" w:hAnsi="仿宋" w:eastAsia="仿宋"/>
          <w:color w:val="auto"/>
          <w:sz w:val="28"/>
          <w:szCs w:val="20"/>
          <w:highlight w:val="none"/>
        </w:rPr>
      </w:pPr>
      <w:r>
        <w:rPr>
          <w:rFonts w:hint="eastAsia" w:ascii="仿宋" w:hAnsi="仿宋" w:eastAsia="仿宋"/>
          <w:color w:val="auto"/>
          <w:sz w:val="28"/>
          <w:szCs w:val="20"/>
          <w:highlight w:val="none"/>
        </w:rPr>
        <w:t>招标编号：</w:t>
      </w:r>
    </w:p>
    <w:p w14:paraId="4E5A73B8">
      <w:pPr>
        <w:spacing w:line="360" w:lineRule="auto"/>
        <w:jc w:val="center"/>
        <w:rPr>
          <w:rFonts w:ascii="仿宋" w:hAnsi="仿宋" w:eastAsia="仿宋"/>
          <w:color w:val="auto"/>
          <w:sz w:val="52"/>
          <w:highlight w:val="none"/>
        </w:rPr>
      </w:pPr>
    </w:p>
    <w:p w14:paraId="425C8BB0">
      <w:pPr>
        <w:pStyle w:val="2"/>
        <w:rPr>
          <w:rFonts w:ascii="仿宋" w:hAnsi="仿宋" w:eastAsia="仿宋"/>
          <w:color w:val="auto"/>
          <w:sz w:val="24"/>
          <w:highlight w:val="none"/>
        </w:rPr>
      </w:pPr>
    </w:p>
    <w:p w14:paraId="1AF2ABEE">
      <w:pPr>
        <w:rPr>
          <w:color w:val="auto"/>
          <w:highlight w:val="none"/>
        </w:rPr>
      </w:pPr>
    </w:p>
    <w:p w14:paraId="79353E28">
      <w:pPr>
        <w:rPr>
          <w:color w:val="auto"/>
          <w:highlight w:val="none"/>
        </w:rPr>
      </w:pPr>
    </w:p>
    <w:p w14:paraId="1D1CF282">
      <w:pPr>
        <w:spacing w:line="360" w:lineRule="auto"/>
        <w:jc w:val="left"/>
        <w:rPr>
          <w:rFonts w:ascii="仿宋" w:hAnsi="仿宋" w:eastAsia="仿宋"/>
          <w:color w:val="auto"/>
          <w:sz w:val="24"/>
          <w:highlight w:val="none"/>
        </w:rPr>
      </w:pPr>
    </w:p>
    <w:p w14:paraId="6E12AD3B">
      <w:pPr>
        <w:spacing w:line="360" w:lineRule="auto"/>
        <w:jc w:val="left"/>
        <w:rPr>
          <w:rFonts w:ascii="仿宋" w:hAnsi="仿宋" w:eastAsia="仿宋"/>
          <w:color w:val="auto"/>
          <w:sz w:val="24"/>
          <w:highlight w:val="none"/>
        </w:rPr>
      </w:pPr>
    </w:p>
    <w:p w14:paraId="3728DB73">
      <w:pPr>
        <w:pStyle w:val="2"/>
        <w:rPr>
          <w:rFonts w:ascii="仿宋" w:hAnsi="仿宋" w:eastAsia="仿宋"/>
          <w:color w:val="auto"/>
          <w:sz w:val="24"/>
          <w:highlight w:val="none"/>
        </w:rPr>
      </w:pPr>
    </w:p>
    <w:p w14:paraId="0C2EDC17">
      <w:pPr>
        <w:rPr>
          <w:color w:val="auto"/>
          <w:highlight w:val="none"/>
        </w:rPr>
      </w:pPr>
    </w:p>
    <w:p w14:paraId="5ABE4AA6">
      <w:pPr>
        <w:spacing w:line="360" w:lineRule="auto"/>
        <w:ind w:firstLine="840" w:firstLineChars="300"/>
        <w:rPr>
          <w:rFonts w:ascii="仿宋" w:hAnsi="仿宋" w:eastAsia="仿宋"/>
          <w:color w:val="auto"/>
          <w:sz w:val="28"/>
          <w:szCs w:val="28"/>
          <w:highlight w:val="none"/>
        </w:rPr>
      </w:pPr>
      <w:r>
        <w:rPr>
          <w:rFonts w:hint="eastAsia" w:ascii="仿宋" w:hAnsi="仿宋" w:eastAsia="仿宋"/>
          <w:color w:val="auto"/>
          <w:sz w:val="28"/>
          <w:szCs w:val="28"/>
          <w:highlight w:val="none"/>
        </w:rPr>
        <w:t>甲  方：西安市第三医院</w:t>
      </w:r>
    </w:p>
    <w:p w14:paraId="27D5FE77">
      <w:pPr>
        <w:spacing w:line="360" w:lineRule="auto"/>
        <w:ind w:firstLine="840" w:firstLineChars="300"/>
        <w:rPr>
          <w:rFonts w:ascii="仿宋" w:hAnsi="仿宋" w:eastAsia="仿宋"/>
          <w:color w:val="auto"/>
          <w:sz w:val="28"/>
          <w:szCs w:val="28"/>
          <w:highlight w:val="none"/>
        </w:rPr>
      </w:pPr>
      <w:r>
        <w:rPr>
          <w:rFonts w:hint="eastAsia" w:ascii="仿宋" w:hAnsi="仿宋" w:eastAsia="仿宋"/>
          <w:color w:val="auto"/>
          <w:sz w:val="28"/>
          <w:szCs w:val="28"/>
          <w:highlight w:val="none"/>
        </w:rPr>
        <w:t>乙  方：</w:t>
      </w:r>
    </w:p>
    <w:p w14:paraId="20E4FA23">
      <w:pPr>
        <w:spacing w:line="360" w:lineRule="auto"/>
        <w:ind w:firstLine="840" w:firstLineChars="300"/>
        <w:rPr>
          <w:rFonts w:ascii="仿宋" w:hAnsi="仿宋" w:eastAsia="仿宋"/>
          <w:color w:val="auto"/>
          <w:sz w:val="28"/>
          <w:szCs w:val="28"/>
          <w:highlight w:val="none"/>
        </w:rPr>
      </w:pPr>
      <w:r>
        <w:rPr>
          <w:rFonts w:hint="eastAsia" w:ascii="仿宋" w:hAnsi="仿宋" w:eastAsia="仿宋"/>
          <w:color w:val="auto"/>
          <w:sz w:val="28"/>
          <w:szCs w:val="28"/>
          <w:highlight w:val="none"/>
        </w:rPr>
        <w:t xml:space="preserve">见证方: </w:t>
      </w:r>
    </w:p>
    <w:p w14:paraId="48872191">
      <w:pPr>
        <w:pStyle w:val="2"/>
        <w:rPr>
          <w:color w:val="auto"/>
          <w:highlight w:val="none"/>
        </w:rPr>
      </w:pPr>
    </w:p>
    <w:p w14:paraId="6BA9D2CA">
      <w:pPr>
        <w:rPr>
          <w:color w:val="auto"/>
          <w:highlight w:val="none"/>
        </w:rPr>
      </w:pPr>
    </w:p>
    <w:p w14:paraId="6DCB4528">
      <w:pPr>
        <w:snapToGrid w:val="0"/>
        <w:jc w:val="center"/>
        <w:rPr>
          <w:rFonts w:ascii="仿宋" w:hAnsi="仿宋" w:eastAsia="仿宋"/>
          <w:color w:val="auto"/>
          <w:sz w:val="28"/>
          <w:szCs w:val="22"/>
          <w:highlight w:val="none"/>
        </w:rPr>
      </w:pPr>
      <w:r>
        <w:rPr>
          <w:rFonts w:hint="eastAsia" w:ascii="仿宋" w:hAnsi="仿宋" w:eastAsia="仿宋"/>
          <w:color w:val="auto"/>
          <w:sz w:val="28"/>
          <w:szCs w:val="22"/>
          <w:highlight w:val="none"/>
        </w:rPr>
        <w:t>2025年 月</w:t>
      </w:r>
    </w:p>
    <w:p w14:paraId="43214767">
      <w:pPr>
        <w:snapToGrid w:val="0"/>
        <w:jc w:val="center"/>
        <w:rPr>
          <w:rFonts w:ascii="仿宋" w:hAnsi="仿宋" w:eastAsia="仿宋"/>
          <w:color w:val="auto"/>
          <w:sz w:val="28"/>
          <w:szCs w:val="22"/>
          <w:highlight w:val="none"/>
        </w:rPr>
      </w:pPr>
      <w:r>
        <w:rPr>
          <w:rFonts w:hint="eastAsia" w:ascii="仿宋" w:hAnsi="仿宋" w:eastAsia="仿宋"/>
          <w:color w:val="auto"/>
          <w:sz w:val="28"/>
          <w:szCs w:val="22"/>
          <w:highlight w:val="none"/>
        </w:rPr>
        <w:t>中国  西安</w:t>
      </w:r>
    </w:p>
    <w:p w14:paraId="12C4A142">
      <w:pPr>
        <w:pStyle w:val="3"/>
        <w:spacing w:after="156"/>
        <w:rPr>
          <w:rFonts w:ascii="仿宋" w:hAnsi="仿宋" w:eastAsia="仿宋"/>
          <w:color w:val="auto"/>
          <w:highlight w:val="none"/>
        </w:rPr>
      </w:pPr>
      <w:r>
        <w:rPr>
          <w:rFonts w:ascii="仿宋" w:hAnsi="仿宋" w:eastAsia="仿宋"/>
          <w:color w:val="auto"/>
          <w:highlight w:val="none"/>
        </w:rPr>
        <w:br w:type="page"/>
      </w:r>
    </w:p>
    <w:p w14:paraId="15A5CFFB">
      <w:pPr>
        <w:spacing w:line="360" w:lineRule="auto"/>
        <w:ind w:firstLine="630" w:firstLineChars="300"/>
        <w:rPr>
          <w:rFonts w:ascii="仿宋" w:hAnsi="仿宋" w:eastAsia="仿宋" w:cs="仿宋"/>
          <w:color w:val="auto"/>
          <w:szCs w:val="21"/>
          <w:highlight w:val="none"/>
        </w:rPr>
      </w:pPr>
      <w:r>
        <w:rPr>
          <w:rFonts w:hint="eastAsia" w:ascii="仿宋" w:hAnsi="仿宋" w:eastAsia="仿宋" w:cs="仿宋"/>
          <w:color w:val="auto"/>
          <w:szCs w:val="21"/>
          <w:highlight w:val="none"/>
        </w:rPr>
        <w:t>甲方：</w:t>
      </w:r>
    </w:p>
    <w:p w14:paraId="09A18399">
      <w:pPr>
        <w:spacing w:line="360" w:lineRule="auto"/>
        <w:ind w:firstLine="630" w:firstLineChars="300"/>
        <w:rPr>
          <w:rFonts w:ascii="仿宋" w:hAnsi="仿宋" w:eastAsia="仿宋" w:cs="仿宋"/>
          <w:color w:val="auto"/>
          <w:szCs w:val="21"/>
          <w:highlight w:val="none"/>
        </w:rPr>
      </w:pPr>
      <w:r>
        <w:rPr>
          <w:rFonts w:hint="eastAsia" w:ascii="仿宋" w:hAnsi="仿宋" w:eastAsia="仿宋" w:cs="仿宋"/>
          <w:color w:val="auto"/>
          <w:szCs w:val="21"/>
          <w:highlight w:val="none"/>
        </w:rPr>
        <w:t>住所地：</w:t>
      </w:r>
    </w:p>
    <w:p w14:paraId="56967DCB">
      <w:pPr>
        <w:spacing w:line="360" w:lineRule="auto"/>
        <w:ind w:firstLine="630" w:firstLineChars="300"/>
        <w:rPr>
          <w:rFonts w:ascii="仿宋" w:hAnsi="仿宋" w:eastAsia="仿宋" w:cs="仿宋"/>
          <w:color w:val="auto"/>
          <w:szCs w:val="21"/>
          <w:highlight w:val="none"/>
        </w:rPr>
      </w:pPr>
      <w:r>
        <w:rPr>
          <w:rFonts w:hint="eastAsia" w:ascii="仿宋" w:hAnsi="仿宋" w:eastAsia="仿宋" w:cs="仿宋"/>
          <w:color w:val="auto"/>
          <w:szCs w:val="21"/>
          <w:highlight w:val="none"/>
        </w:rPr>
        <w:t xml:space="preserve">法定代表人： </w:t>
      </w:r>
    </w:p>
    <w:p w14:paraId="378D218A">
      <w:pPr>
        <w:spacing w:line="360" w:lineRule="auto"/>
        <w:ind w:firstLine="630" w:firstLineChars="300"/>
        <w:rPr>
          <w:rFonts w:ascii="仿宋" w:hAnsi="仿宋" w:eastAsia="仿宋" w:cs="仿宋"/>
          <w:color w:val="auto"/>
          <w:szCs w:val="21"/>
          <w:highlight w:val="none"/>
        </w:rPr>
      </w:pPr>
      <w:r>
        <w:rPr>
          <w:rFonts w:hint="eastAsia" w:ascii="仿宋" w:hAnsi="仿宋" w:eastAsia="仿宋" w:cs="仿宋"/>
          <w:color w:val="auto"/>
          <w:szCs w:val="21"/>
          <w:highlight w:val="none"/>
        </w:rPr>
        <w:t>联系方式：</w:t>
      </w:r>
    </w:p>
    <w:p w14:paraId="5E4DC2E8">
      <w:pPr>
        <w:spacing w:line="360" w:lineRule="auto"/>
        <w:ind w:firstLine="630" w:firstLineChars="300"/>
        <w:rPr>
          <w:rFonts w:ascii="仿宋" w:hAnsi="仿宋" w:eastAsia="仿宋" w:cs="仿宋"/>
          <w:color w:val="auto"/>
          <w:szCs w:val="21"/>
          <w:highlight w:val="none"/>
        </w:rPr>
      </w:pPr>
      <w:r>
        <w:rPr>
          <w:rFonts w:hint="eastAsia" w:ascii="仿宋" w:hAnsi="仿宋" w:eastAsia="仿宋" w:cs="仿宋"/>
          <w:color w:val="auto"/>
          <w:szCs w:val="21"/>
          <w:highlight w:val="none"/>
        </w:rPr>
        <w:t>乙方：</w:t>
      </w:r>
    </w:p>
    <w:p w14:paraId="5547F9C2">
      <w:pPr>
        <w:spacing w:line="360" w:lineRule="auto"/>
        <w:ind w:firstLine="630" w:firstLineChars="300"/>
        <w:rPr>
          <w:rFonts w:ascii="仿宋" w:hAnsi="仿宋" w:eastAsia="仿宋" w:cs="仿宋"/>
          <w:color w:val="auto"/>
          <w:szCs w:val="21"/>
          <w:highlight w:val="none"/>
        </w:rPr>
      </w:pPr>
      <w:r>
        <w:rPr>
          <w:rFonts w:hint="eastAsia" w:ascii="仿宋" w:hAnsi="仿宋" w:eastAsia="仿宋" w:cs="仿宋"/>
          <w:color w:val="auto"/>
          <w:szCs w:val="21"/>
          <w:highlight w:val="none"/>
        </w:rPr>
        <w:t>住所地：</w:t>
      </w:r>
    </w:p>
    <w:p w14:paraId="40423FE4">
      <w:pPr>
        <w:spacing w:line="360" w:lineRule="auto"/>
        <w:ind w:firstLine="630" w:firstLineChars="300"/>
        <w:rPr>
          <w:rFonts w:ascii="仿宋" w:hAnsi="仿宋" w:eastAsia="仿宋" w:cs="仿宋"/>
          <w:color w:val="auto"/>
          <w:szCs w:val="21"/>
          <w:highlight w:val="none"/>
        </w:rPr>
      </w:pPr>
      <w:r>
        <w:rPr>
          <w:rFonts w:hint="eastAsia" w:ascii="仿宋" w:hAnsi="仿宋" w:eastAsia="仿宋" w:cs="仿宋"/>
          <w:color w:val="auto"/>
          <w:szCs w:val="21"/>
          <w:highlight w:val="none"/>
        </w:rPr>
        <w:t>法定代表人：</w:t>
      </w:r>
    </w:p>
    <w:p w14:paraId="5382314B">
      <w:pPr>
        <w:spacing w:line="360" w:lineRule="auto"/>
        <w:ind w:firstLine="630" w:firstLineChars="300"/>
        <w:rPr>
          <w:rFonts w:ascii="仿宋" w:hAnsi="仿宋" w:eastAsia="仿宋" w:cs="仿宋"/>
          <w:color w:val="auto"/>
          <w:szCs w:val="21"/>
          <w:highlight w:val="none"/>
        </w:rPr>
      </w:pPr>
      <w:r>
        <w:rPr>
          <w:rFonts w:hint="eastAsia" w:ascii="仿宋" w:hAnsi="仿宋" w:eastAsia="仿宋" w:cs="仿宋"/>
          <w:color w:val="auto"/>
          <w:szCs w:val="21"/>
          <w:highlight w:val="none"/>
        </w:rPr>
        <w:t>联系方式：</w:t>
      </w:r>
    </w:p>
    <w:p w14:paraId="65B13FDA">
      <w:pPr>
        <w:spacing w:line="360" w:lineRule="auto"/>
        <w:ind w:firstLine="630" w:firstLineChars="300"/>
        <w:rPr>
          <w:rFonts w:ascii="仿宋" w:hAnsi="仿宋" w:eastAsia="仿宋" w:cs="仿宋"/>
          <w:color w:val="auto"/>
          <w:szCs w:val="21"/>
          <w:highlight w:val="none"/>
        </w:rPr>
      </w:pPr>
      <w:r>
        <w:rPr>
          <w:rFonts w:hint="eastAsia" w:ascii="仿宋" w:hAnsi="仿宋" w:eastAsia="仿宋" w:cs="仿宋"/>
          <w:color w:val="auto"/>
          <w:szCs w:val="21"/>
          <w:highlight w:val="none"/>
        </w:rPr>
        <w:t>见证方：</w:t>
      </w:r>
    </w:p>
    <w:p w14:paraId="7E3BFEFB">
      <w:pPr>
        <w:spacing w:line="360" w:lineRule="auto"/>
        <w:ind w:firstLine="630" w:firstLineChars="300"/>
        <w:rPr>
          <w:rFonts w:ascii="仿宋" w:hAnsi="仿宋" w:eastAsia="仿宋" w:cs="仿宋"/>
          <w:color w:val="auto"/>
          <w:szCs w:val="21"/>
          <w:highlight w:val="none"/>
        </w:rPr>
      </w:pPr>
      <w:r>
        <w:rPr>
          <w:rFonts w:hint="eastAsia" w:ascii="仿宋" w:hAnsi="仿宋" w:eastAsia="仿宋" w:cs="仿宋"/>
          <w:color w:val="auto"/>
          <w:szCs w:val="21"/>
          <w:highlight w:val="none"/>
        </w:rPr>
        <w:t>住所地：</w:t>
      </w:r>
    </w:p>
    <w:p w14:paraId="34B8A32C">
      <w:pPr>
        <w:spacing w:line="360" w:lineRule="auto"/>
        <w:ind w:firstLine="630" w:firstLineChars="300"/>
        <w:rPr>
          <w:rFonts w:ascii="仿宋" w:hAnsi="仿宋" w:eastAsia="仿宋" w:cs="仿宋"/>
          <w:color w:val="auto"/>
          <w:szCs w:val="21"/>
          <w:highlight w:val="none"/>
        </w:rPr>
      </w:pPr>
      <w:r>
        <w:rPr>
          <w:rFonts w:hint="eastAsia" w:ascii="仿宋" w:hAnsi="仿宋" w:eastAsia="仿宋" w:cs="仿宋"/>
          <w:color w:val="auto"/>
          <w:szCs w:val="21"/>
          <w:highlight w:val="none"/>
        </w:rPr>
        <w:t>法定代表人：</w:t>
      </w:r>
    </w:p>
    <w:p w14:paraId="406D4FC0">
      <w:pPr>
        <w:spacing w:line="360" w:lineRule="auto"/>
        <w:ind w:firstLine="630" w:firstLineChars="300"/>
        <w:rPr>
          <w:rFonts w:ascii="仿宋" w:hAnsi="仿宋" w:eastAsia="仿宋" w:cs="仿宋"/>
          <w:color w:val="auto"/>
          <w:szCs w:val="21"/>
          <w:highlight w:val="none"/>
        </w:rPr>
      </w:pPr>
      <w:r>
        <w:rPr>
          <w:rFonts w:hint="eastAsia" w:ascii="仿宋" w:hAnsi="仿宋" w:eastAsia="仿宋" w:cs="仿宋"/>
          <w:color w:val="auto"/>
          <w:szCs w:val="21"/>
          <w:highlight w:val="none"/>
        </w:rPr>
        <w:t>联系方式：</w:t>
      </w:r>
    </w:p>
    <w:p w14:paraId="387F9397">
      <w:pPr>
        <w:spacing w:line="360" w:lineRule="auto"/>
        <w:ind w:firstLine="630" w:firstLineChars="300"/>
        <w:rPr>
          <w:rFonts w:ascii="仿宋" w:hAnsi="仿宋" w:eastAsia="仿宋" w:cs="仿宋"/>
          <w:color w:val="auto"/>
          <w:szCs w:val="21"/>
          <w:highlight w:val="none"/>
        </w:rPr>
      </w:pPr>
      <w:r>
        <w:rPr>
          <w:rFonts w:hint="eastAsia" w:ascii="仿宋" w:hAnsi="仿宋" w:eastAsia="仿宋" w:cs="仿宋"/>
          <w:color w:val="auto"/>
          <w:szCs w:val="21"/>
          <w:highlight w:val="none"/>
        </w:rPr>
        <w:t>西安市第三医院（以下简称甲方）所需本合同项目下的XXXX绿化维护，在西安市财政局政府采购管理处的监督管理下，由XXXXXXXXXXXXXXXXXXXX（以下简称见证方）按照政府采购程序组织公开招标，确定XXXXXXXXXXXXXXXXXX（以下简称乙方）为成交供应商。依据《中华人民共和国政府采购法》、《中华人民共和国招标投标法》、《中华人民共和国民法典》以及见证方的招标文件、中标供应商投标文件正本和澄清表（函）、中标通知书，经甲、乙双方协商，见证方确认，达成如下条款。</w:t>
      </w:r>
    </w:p>
    <w:p w14:paraId="6BCD12E0">
      <w:pPr>
        <w:spacing w:line="360" w:lineRule="auto"/>
        <w:ind w:firstLine="422" w:firstLineChars="200"/>
        <w:rPr>
          <w:rFonts w:ascii="仿宋" w:hAnsi="仿宋" w:eastAsia="仿宋" w:cs="仿宋"/>
          <w:b/>
          <w:color w:val="auto"/>
          <w:szCs w:val="21"/>
          <w:highlight w:val="none"/>
        </w:rPr>
      </w:pPr>
      <w:r>
        <w:rPr>
          <w:rFonts w:hint="eastAsia" w:ascii="仿宋" w:hAnsi="仿宋" w:eastAsia="仿宋" w:cs="仿宋"/>
          <w:b/>
          <w:color w:val="auto"/>
          <w:szCs w:val="21"/>
          <w:highlight w:val="none"/>
        </w:rPr>
        <w:t>第一条：项目内容</w:t>
      </w:r>
    </w:p>
    <w:p w14:paraId="17378E25">
      <w:pPr>
        <w:spacing w:line="360" w:lineRule="auto"/>
        <w:ind w:firstLine="315" w:firstLineChars="150"/>
        <w:rPr>
          <w:rFonts w:ascii="仿宋" w:hAnsi="仿宋" w:eastAsia="仿宋" w:cs="仿宋"/>
          <w:color w:val="auto"/>
          <w:szCs w:val="21"/>
          <w:highlight w:val="none"/>
        </w:rPr>
      </w:pPr>
      <w:r>
        <w:rPr>
          <w:rFonts w:hint="eastAsia" w:ascii="仿宋" w:hAnsi="仿宋" w:eastAsia="仿宋" w:cs="仿宋"/>
          <w:color w:val="auto"/>
          <w:szCs w:val="21"/>
          <w:highlight w:val="none"/>
        </w:rPr>
        <w:t xml:space="preserve"> 一、绿化服务总体要求</w:t>
      </w:r>
    </w:p>
    <w:p w14:paraId="3BA5B096">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1 、室外达到四季常绿、四季有花，平面、立体绿植</w:t>
      </w:r>
    </w:p>
    <w:p w14:paraId="0E6AFA64">
      <w:pPr>
        <w:tabs>
          <w:tab w:val="left" w:pos="480"/>
        </w:tabs>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2 、室内公共区域、重点科室、办公场所，花木常在、美观并及时更替(根据甲方需要定量摆放)</w:t>
      </w:r>
    </w:p>
    <w:p w14:paraId="2D97A4FC">
      <w:pPr>
        <w:pStyle w:val="6"/>
        <w:tabs>
          <w:tab w:val="left" w:pos="1620"/>
        </w:tabs>
        <w:snapToGrid w:val="0"/>
        <w:spacing w:line="360" w:lineRule="auto"/>
        <w:ind w:right="-197" w:rightChars="-94" w:firstLine="367" w:firstLineChars="175"/>
        <w:jc w:val="lef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3、室外花卉摆放</w:t>
      </w:r>
    </w:p>
    <w:p w14:paraId="712238C5">
      <w:pPr>
        <w:pStyle w:val="6"/>
        <w:tabs>
          <w:tab w:val="left" w:pos="1620"/>
        </w:tabs>
        <w:snapToGrid w:val="0"/>
        <w:spacing w:line="360" w:lineRule="auto"/>
        <w:ind w:right="-197" w:rightChars="-94" w:firstLine="367" w:firstLineChars="175"/>
        <w:jc w:val="lef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4、全年及时对黄土裸露区域铺种草坪</w:t>
      </w:r>
    </w:p>
    <w:p w14:paraId="2C277C8F">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5、大型、重要会议绿植创意设计、布放</w:t>
      </w:r>
    </w:p>
    <w:p w14:paraId="20B23FA0">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6、保证苗木成活率，乔木成活率不低于98%，灌木、草坪成活率不低于100%，死苗及时更换补载</w:t>
      </w:r>
    </w:p>
    <w:p w14:paraId="33B6DB64">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7、绿化维护档案记录完整</w:t>
      </w:r>
    </w:p>
    <w:p w14:paraId="2DE56827">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8、驻场人数不低于4人，项目经理需有  资质</w:t>
      </w:r>
    </w:p>
    <w:p w14:paraId="7D9FC5B9">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二、绿化养护范围</w:t>
      </w:r>
    </w:p>
    <w:p w14:paraId="7965E766">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1  室外现有绿植维护</w:t>
      </w:r>
    </w:p>
    <w:p w14:paraId="31E7E81F">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1.1 整体养护：浇水、施肥、病虫害防治、耕松土、除杂草</w:t>
      </w:r>
    </w:p>
    <w:p w14:paraId="7E3AC4F6">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1.2造型修剪：大型乔木冠型修剪，篱笆、绿化带造型修剪、绑扎，草坪修剪，</w:t>
      </w:r>
    </w:p>
    <w:p w14:paraId="6723438B">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1.3 花卉种植：花坛花境的季节性种植</w:t>
      </w:r>
    </w:p>
    <w:p w14:paraId="2FBD17FF">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1.4植物保护：越冬、防虫、人员践踏保护、文明提示、悬配树木铭牌</w:t>
      </w:r>
    </w:p>
    <w:p w14:paraId="6EB8BE49">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1.5户外立体花架摆放、更换（按季节、节日）</w:t>
      </w:r>
    </w:p>
    <w:p w14:paraId="3A22BE73">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1.6 重要节日、活动绿植设计、花卉摆放、养护、更换</w:t>
      </w:r>
    </w:p>
    <w:p w14:paraId="096C113E">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2  室内绿植维护</w:t>
      </w:r>
    </w:p>
    <w:p w14:paraId="253F5827">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2.1 花卉摆置设计、养护、更换</w:t>
      </w:r>
    </w:p>
    <w:p w14:paraId="182B870B">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2.1.1 全院公共区域连廊盆栽绿植、花卉摆放、养护、更换</w:t>
      </w:r>
    </w:p>
    <w:p w14:paraId="4D6425D1">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2.1.2 门诊、医技楼各候诊室、护士站、诊室盆栽绿植、花卉摆放、养护、更换</w:t>
      </w:r>
    </w:p>
    <w:p w14:paraId="2B666EA5">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2.1.3 住院部各病区连廊、护士站、医生办公室盆栽绿植、花卉摆放、养护、更换</w:t>
      </w:r>
    </w:p>
    <w:p w14:paraId="71454D2B">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2.1.4 行政办公室盆栽绿植、花卉摆放、养护、更换</w:t>
      </w:r>
    </w:p>
    <w:p w14:paraId="459566BE">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2.1.5 大型、重要会议现场盆栽绿植、花卉摆放、养护</w:t>
      </w:r>
    </w:p>
    <w:p w14:paraId="55D91C0B">
      <w:pPr>
        <w:pStyle w:val="6"/>
        <w:tabs>
          <w:tab w:val="left" w:pos="1620"/>
        </w:tabs>
        <w:snapToGrid w:val="0"/>
        <w:spacing w:line="360" w:lineRule="auto"/>
        <w:ind w:right="-197" w:rightChars="-94" w:firstLine="367" w:firstLineChars="175"/>
        <w:jc w:val="lef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3  绿化重点区域完善提升</w:t>
      </w:r>
    </w:p>
    <w:p w14:paraId="45AACAE8">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3.1 整体绿化提升</w:t>
      </w:r>
    </w:p>
    <w:p w14:paraId="4E85B4D0">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 xml:space="preserve">3.1.1 重点区域做造型小品11处 </w:t>
      </w:r>
    </w:p>
    <w:p w14:paraId="50A4999B">
      <w:pPr>
        <w:spacing w:line="360" w:lineRule="auto"/>
        <w:ind w:firstLine="422" w:firstLineChars="200"/>
        <w:rPr>
          <w:rFonts w:ascii="仿宋" w:hAnsi="仿宋" w:eastAsia="仿宋" w:cs="仿宋"/>
          <w:b/>
          <w:color w:val="auto"/>
          <w:szCs w:val="21"/>
          <w:highlight w:val="none"/>
        </w:rPr>
      </w:pPr>
      <w:r>
        <w:rPr>
          <w:rFonts w:hint="eastAsia" w:ascii="仿宋" w:hAnsi="仿宋" w:eastAsia="仿宋" w:cs="仿宋"/>
          <w:b/>
          <w:color w:val="auto"/>
          <w:szCs w:val="21"/>
          <w:highlight w:val="none"/>
        </w:rPr>
        <w:t>第二条：服务期</w:t>
      </w:r>
    </w:p>
    <w:p w14:paraId="66EF532F">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1、绿化养护自合同签订之日起两年，花卉摆放自合同签订之日起两年或花卉摆放金额执行完为止</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rPr>
        <w:t>（合同逐年签订，第一年合同服务期结束前一个月经过考核评价，当年服务质量达到甲方要求，方可续签下一年度服务合同，否则，甲方有权重新组织招标，且无需承担任何责任。）</w:t>
      </w:r>
    </w:p>
    <w:p w14:paraId="50D82459">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2、服务地点：西安市第三医院室内、室外</w:t>
      </w:r>
    </w:p>
    <w:p w14:paraId="70D5094A">
      <w:pPr>
        <w:tabs>
          <w:tab w:val="left" w:pos="480"/>
        </w:tabs>
        <w:spacing w:line="360" w:lineRule="auto"/>
        <w:rPr>
          <w:rFonts w:ascii="仿宋" w:hAnsi="仿宋" w:eastAsia="仿宋" w:cs="仿宋"/>
          <w:b/>
          <w:color w:val="auto"/>
          <w:szCs w:val="21"/>
          <w:highlight w:val="none"/>
        </w:rPr>
      </w:pPr>
      <w:r>
        <w:rPr>
          <w:rFonts w:hint="eastAsia" w:ascii="仿宋" w:hAnsi="仿宋" w:eastAsia="仿宋" w:cs="仿宋"/>
          <w:b/>
          <w:color w:val="auto"/>
          <w:szCs w:val="21"/>
          <w:highlight w:val="none"/>
        </w:rPr>
        <w:t xml:space="preserve">   第三条：合同价款</w:t>
      </w:r>
    </w:p>
    <w:p w14:paraId="1CF16FAB">
      <w:pPr>
        <w:spacing w:line="360" w:lineRule="auto"/>
        <w:ind w:firstLine="480"/>
        <w:rPr>
          <w:rFonts w:ascii="仿宋" w:hAnsi="仿宋" w:eastAsia="仿宋" w:cs="仿宋"/>
          <w:color w:val="auto"/>
          <w:szCs w:val="21"/>
          <w:highlight w:val="none"/>
        </w:rPr>
      </w:pPr>
      <w:r>
        <w:rPr>
          <w:rFonts w:hint="eastAsia" w:ascii="仿宋" w:hAnsi="仿宋" w:eastAsia="仿宋" w:cs="仿宋"/>
          <w:color w:val="auto"/>
          <w:szCs w:val="21"/>
          <w:highlight w:val="none"/>
        </w:rPr>
        <w:t>1、合同总价款为人民币大写</w:t>
      </w:r>
      <w:r>
        <w:rPr>
          <w:rFonts w:hint="eastAsia" w:ascii="仿宋" w:hAnsi="仿宋" w:eastAsia="仿宋" w:cs="仿宋"/>
          <w:color w:val="auto"/>
          <w:szCs w:val="21"/>
          <w:highlight w:val="none"/>
          <w:u w:val="single"/>
        </w:rPr>
        <w:t>:    元整</w:t>
      </w:r>
      <w:r>
        <w:rPr>
          <w:rFonts w:hint="eastAsia" w:ascii="仿宋" w:hAnsi="仿宋" w:eastAsia="仿宋" w:cs="仿宋"/>
          <w:color w:val="auto"/>
          <w:szCs w:val="21"/>
          <w:highlight w:val="none"/>
        </w:rPr>
        <w:t>（￥元）。合同总价包括：养护费（所有人工、机械、种子、材料、农药有机肥等费用）和室内外绿植花卉摆放费用。</w:t>
      </w:r>
    </w:p>
    <w:p w14:paraId="1FBC4151">
      <w:pPr>
        <w:spacing w:line="360" w:lineRule="auto"/>
        <w:ind w:firstLine="480"/>
        <w:rPr>
          <w:rFonts w:ascii="仿宋" w:hAnsi="仿宋" w:eastAsia="仿宋" w:cs="仿宋"/>
          <w:color w:val="auto"/>
          <w:szCs w:val="21"/>
          <w:highlight w:val="none"/>
        </w:rPr>
      </w:pPr>
      <w:r>
        <w:rPr>
          <w:rFonts w:hint="eastAsia" w:ascii="仿宋" w:hAnsi="仿宋" w:eastAsia="仿宋" w:cs="仿宋"/>
          <w:color w:val="auto"/>
          <w:szCs w:val="21"/>
          <w:highlight w:val="none"/>
        </w:rPr>
        <w:t>2、养护费用固定总价，不受市场价格变化因素的影响。室内外绿植花卉摆放费用据实结算。</w:t>
      </w:r>
    </w:p>
    <w:p w14:paraId="1B751364">
      <w:pPr>
        <w:spacing w:line="360" w:lineRule="auto"/>
        <w:rPr>
          <w:rFonts w:ascii="仿宋" w:hAnsi="仿宋" w:eastAsia="仿宋" w:cs="仿宋"/>
          <w:b/>
          <w:color w:val="auto"/>
          <w:szCs w:val="21"/>
          <w:highlight w:val="none"/>
        </w:rPr>
      </w:pPr>
      <w:r>
        <w:rPr>
          <w:rFonts w:hint="eastAsia" w:ascii="仿宋" w:hAnsi="仿宋" w:eastAsia="仿宋" w:cs="仿宋"/>
          <w:b/>
          <w:color w:val="auto"/>
          <w:szCs w:val="21"/>
          <w:highlight w:val="none"/>
        </w:rPr>
        <w:t xml:space="preserve">   第四条：款项结算</w:t>
      </w:r>
    </w:p>
    <w:p w14:paraId="73EC823D">
      <w:pPr>
        <w:pStyle w:val="6"/>
        <w:tabs>
          <w:tab w:val="left" w:pos="1620"/>
        </w:tabs>
        <w:snapToGrid w:val="0"/>
        <w:spacing w:line="360" w:lineRule="auto"/>
        <w:ind w:right="-197" w:rightChars="-94" w:firstLine="367" w:firstLineChars="175"/>
        <w:jc w:val="lef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付款说明：</w:t>
      </w:r>
      <w:bookmarkStart w:id="9" w:name="_GoBack"/>
      <w:bookmarkEnd w:id="9"/>
      <w:r>
        <w:rPr>
          <w:rFonts w:hint="eastAsia" w:ascii="仿宋" w:hAnsi="仿宋" w:eastAsia="仿宋" w:cs="仿宋"/>
          <w:color w:val="auto"/>
          <w:sz w:val="21"/>
          <w:szCs w:val="21"/>
          <w:highlight w:val="none"/>
        </w:rPr>
        <w:t>合同签订后，按季度付款，每季度进行据实结算</w:t>
      </w:r>
      <w:r>
        <w:rPr>
          <w:rFonts w:hint="eastAsia" w:ascii="仿宋" w:hAnsi="仿宋" w:eastAsia="仿宋" w:cs="仿宋"/>
          <w:color w:val="auto"/>
          <w:sz w:val="21"/>
          <w:szCs w:val="21"/>
          <w:highlight w:val="none"/>
          <w:lang w:eastAsia="zh-CN"/>
        </w:rPr>
        <w:t>。</w:t>
      </w:r>
    </w:p>
    <w:p w14:paraId="41D061F0">
      <w:pPr>
        <w:pStyle w:val="6"/>
        <w:tabs>
          <w:tab w:val="left" w:pos="1620"/>
        </w:tabs>
        <w:snapToGrid w:val="0"/>
        <w:spacing w:line="360" w:lineRule="auto"/>
        <w:ind w:right="-197" w:rightChars="-94" w:firstLine="367" w:firstLineChars="175"/>
        <w:jc w:val="lef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1.按季度付款，每季度甲方根据对乙方该季度服务考核情况次季度10日前乙方支付上季度服务款。每次付款金额由</w:t>
      </w:r>
      <w:r>
        <w:rPr>
          <w:rFonts w:hint="eastAsia" w:ascii="仿宋" w:hAnsi="仿宋" w:eastAsia="仿宋" w:cs="仿宋"/>
          <w:color w:val="auto"/>
          <w:sz w:val="21"/>
          <w:szCs w:val="21"/>
          <w:highlight w:val="none"/>
          <w:lang w:val="en-US" w:eastAsia="zh-CN"/>
        </w:rPr>
        <w:t>二</w:t>
      </w:r>
      <w:r>
        <w:rPr>
          <w:rFonts w:hint="eastAsia" w:ascii="仿宋" w:hAnsi="仿宋" w:eastAsia="仿宋" w:cs="仿宋"/>
          <w:color w:val="auto"/>
          <w:sz w:val="21"/>
          <w:szCs w:val="21"/>
          <w:highlight w:val="none"/>
        </w:rPr>
        <w:t>部分组成，第</w:t>
      </w:r>
      <w:r>
        <w:rPr>
          <w:rFonts w:hint="eastAsia" w:ascii="仿宋" w:hAnsi="仿宋" w:eastAsia="仿宋" w:cs="仿宋"/>
          <w:color w:val="auto"/>
          <w:sz w:val="21"/>
          <w:szCs w:val="21"/>
          <w:highlight w:val="none"/>
          <w:lang w:val="en-US" w:eastAsia="zh-CN"/>
        </w:rPr>
        <w:t>三</w:t>
      </w:r>
      <w:r>
        <w:rPr>
          <w:rFonts w:hint="eastAsia" w:ascii="仿宋" w:hAnsi="仿宋" w:eastAsia="仿宋" w:cs="仿宋"/>
          <w:color w:val="auto"/>
          <w:sz w:val="21"/>
          <w:szCs w:val="21"/>
          <w:highlight w:val="none"/>
        </w:rPr>
        <w:t>部分为养护费用的1/8</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金额为大写：</w:t>
      </w:r>
      <w:r>
        <w:rPr>
          <w:rFonts w:hint="eastAsia" w:ascii="仿宋" w:hAnsi="仿宋" w:eastAsia="仿宋" w:cs="仿宋"/>
          <w:color w:val="auto"/>
          <w:sz w:val="21"/>
          <w:szCs w:val="21"/>
          <w:highlight w:val="none"/>
          <w:u w:val="single"/>
        </w:rPr>
        <w:t>人民币         元整（￥</w:t>
      </w:r>
      <w:r>
        <w:rPr>
          <w:rFonts w:hint="eastAsia" w:ascii="仿宋" w:hAnsi="仿宋" w:eastAsia="仿宋" w:cs="仿宋"/>
          <w:color w:val="auto"/>
          <w:sz w:val="21"/>
          <w:szCs w:val="21"/>
          <w:highlight w:val="none"/>
          <w:u w:val="single"/>
          <w:lang w:eastAsia="zh-CN"/>
        </w:rPr>
        <w:t>：</w:t>
      </w:r>
      <w:r>
        <w:rPr>
          <w:rFonts w:hint="eastAsia" w:ascii="仿宋" w:hAnsi="仿宋" w:eastAsia="仿宋" w:cs="仿宋"/>
          <w:color w:val="auto"/>
          <w:sz w:val="21"/>
          <w:szCs w:val="21"/>
          <w:highlight w:val="none"/>
          <w:u w:val="single"/>
        </w:rPr>
        <w:t xml:space="preserve">     元）</w:t>
      </w:r>
      <w:r>
        <w:rPr>
          <w:rFonts w:hint="eastAsia" w:ascii="仿宋" w:hAnsi="仿宋" w:eastAsia="仿宋" w:cs="仿宋"/>
          <w:color w:val="auto"/>
          <w:sz w:val="21"/>
          <w:szCs w:val="21"/>
          <w:highlight w:val="none"/>
        </w:rPr>
        <w:t>，第二部分为每季度实际摆放花卉费用，第三部分为考核扣款。</w:t>
      </w:r>
      <w:r>
        <w:rPr>
          <w:rFonts w:hint="eastAsia" w:ascii="仿宋" w:hAnsi="仿宋" w:eastAsia="仿宋" w:cs="仿宋"/>
          <w:color w:val="auto"/>
          <w:sz w:val="21"/>
          <w:szCs w:val="21"/>
          <w:highlight w:val="none"/>
        </w:rPr>
        <w:t>每次具体支付金额由甲方根据乙方服务情况考核确定。乙方应于甲方付款前10日内向甲方提供等额合规含税发票，否则，甲方付款期限顺延，且不承担任何责任。</w:t>
      </w:r>
    </w:p>
    <w:p w14:paraId="2E7BC7F1">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2.支付方式：银行转账。</w:t>
      </w:r>
    </w:p>
    <w:p w14:paraId="5E4F6C41">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3.结算方式：每季度7日前乙方出具上季度工作量清单，甲方进行审核，乙方出具</w:t>
      </w:r>
      <w:r>
        <w:rPr>
          <w:rFonts w:hint="eastAsia" w:ascii="仿宋" w:hAnsi="仿宋" w:eastAsia="仿宋" w:cs="仿宋"/>
          <w:color w:val="auto"/>
          <w:szCs w:val="21"/>
          <w:highlight w:val="none"/>
          <w:lang w:val="en-US" w:eastAsia="zh-CN"/>
        </w:rPr>
        <w:t>正式</w:t>
      </w:r>
      <w:r>
        <w:rPr>
          <w:rFonts w:hint="eastAsia" w:ascii="仿宋" w:hAnsi="仿宋" w:eastAsia="仿宋" w:cs="仿宋"/>
          <w:color w:val="auto"/>
          <w:szCs w:val="21"/>
          <w:highlight w:val="none"/>
        </w:rPr>
        <w:t>发票与甲方结算。</w:t>
      </w:r>
    </w:p>
    <w:p w14:paraId="693FAFF9">
      <w:pPr>
        <w:spacing w:line="360" w:lineRule="auto"/>
        <w:ind w:firstLine="422" w:firstLineChars="200"/>
        <w:rPr>
          <w:rFonts w:ascii="仿宋" w:hAnsi="仿宋" w:eastAsia="仿宋" w:cs="仿宋"/>
          <w:b/>
          <w:color w:val="auto"/>
          <w:szCs w:val="21"/>
          <w:highlight w:val="none"/>
        </w:rPr>
      </w:pPr>
      <w:r>
        <w:rPr>
          <w:rFonts w:hint="eastAsia" w:ascii="仿宋" w:hAnsi="仿宋" w:eastAsia="仿宋" w:cs="仿宋"/>
          <w:b/>
          <w:color w:val="auto"/>
          <w:szCs w:val="21"/>
          <w:highlight w:val="none"/>
        </w:rPr>
        <w:t>第五条：质量保证及验收</w:t>
      </w:r>
    </w:p>
    <w:p w14:paraId="5F1A8CBD">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1、进场前乙方应给甲方针对本项目提供详细服务方案，服务方案科学、可行，人员配置合理（乙方常驻甲方现场员工不得少于4人），全面满足甲方要求。乙方配置的人员需要在甲方备案，并应得到甲方的认可。</w:t>
      </w:r>
    </w:p>
    <w:p w14:paraId="3266D105">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2、符合国家有关服务规范要求，确保服务要求达到招标文件第三章要求。</w:t>
      </w:r>
    </w:p>
    <w:p w14:paraId="62A3FF96">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3、乙方提供的服务，若因侵权而产生的一切后果，由乙方自行负责，与甲方无关。若因此给甲方造成任何损失的，由乙方负责全额赔偿。</w:t>
      </w:r>
    </w:p>
    <w:p w14:paraId="7126AD82">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4、服务期满后，甲方根据招标文件和磋商响应文件及相关文件，进行验收，确认服务标准和服务方式是否达到采购要求。</w:t>
      </w:r>
    </w:p>
    <w:p w14:paraId="1986662D">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5、乙方向甲方提供服务过程中的所有资料,以便甲方日后管理。</w:t>
      </w:r>
    </w:p>
    <w:p w14:paraId="7F84BA8B">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6、每季度后勤管理相关部门按照服务考核标准要求进行一次服务质量满意度考核，并做好记录进行分析；考核结果低于85分的，每低1分按照2000元/分的标准扣罚，罚款从季度的服务费中扣除；考核结果低于65分时合同终止。合同终止后，该季度服务费甲方不予支付，乙方还须赔偿由此给甲方造成的全部损失。</w:t>
      </w:r>
    </w:p>
    <w:p w14:paraId="56036CAD">
      <w:pPr>
        <w:spacing w:line="360" w:lineRule="auto"/>
        <w:ind w:firstLine="422" w:firstLineChars="200"/>
        <w:rPr>
          <w:rFonts w:ascii="仿宋" w:hAnsi="仿宋" w:eastAsia="仿宋" w:cs="仿宋"/>
          <w:b/>
          <w:color w:val="auto"/>
          <w:szCs w:val="21"/>
          <w:highlight w:val="none"/>
        </w:rPr>
      </w:pPr>
      <w:r>
        <w:rPr>
          <w:rFonts w:hint="eastAsia" w:ascii="仿宋" w:hAnsi="仿宋" w:eastAsia="仿宋" w:cs="仿宋"/>
          <w:b/>
          <w:color w:val="auto"/>
          <w:szCs w:val="21"/>
          <w:highlight w:val="none"/>
        </w:rPr>
        <w:t>第六条：双方的权利与义务</w:t>
      </w:r>
    </w:p>
    <w:p w14:paraId="08693D81">
      <w:pPr>
        <w:spacing w:line="360" w:lineRule="auto"/>
        <w:rPr>
          <w:rFonts w:ascii="仿宋" w:hAnsi="仿宋" w:eastAsia="仿宋" w:cs="仿宋"/>
          <w:color w:val="auto"/>
          <w:szCs w:val="21"/>
          <w:highlight w:val="none"/>
        </w:rPr>
      </w:pPr>
      <w:r>
        <w:rPr>
          <w:rFonts w:hint="eastAsia" w:ascii="仿宋" w:hAnsi="仿宋" w:eastAsia="仿宋" w:cs="仿宋"/>
          <w:color w:val="auto"/>
          <w:szCs w:val="21"/>
          <w:highlight w:val="none"/>
        </w:rPr>
        <w:t xml:space="preserve">    一、甲方的权利与义务</w:t>
      </w:r>
    </w:p>
    <w:p w14:paraId="66211C3C">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1、甲方有权利监督检查乙方的工作状况，并有权依据合同约定对乙方的服务进行月、季、年度考核。</w:t>
      </w:r>
    </w:p>
    <w:p w14:paraId="68AFAD65">
      <w:pPr>
        <w:spacing w:line="360" w:lineRule="auto"/>
        <w:ind w:firstLine="420" w:firstLineChars="200"/>
        <w:jc w:val="left"/>
        <w:rPr>
          <w:rFonts w:ascii="仿宋" w:hAnsi="仿宋" w:eastAsia="仿宋" w:cs="仿宋"/>
          <w:color w:val="auto"/>
          <w:szCs w:val="21"/>
          <w:highlight w:val="none"/>
        </w:rPr>
      </w:pPr>
      <w:r>
        <w:rPr>
          <w:rFonts w:hint="eastAsia" w:ascii="仿宋" w:hAnsi="仿宋" w:eastAsia="仿宋" w:cs="仿宋"/>
          <w:color w:val="auto"/>
          <w:szCs w:val="21"/>
          <w:highlight w:val="none"/>
        </w:rPr>
        <w:t>2、甲方对乙方管理工作进行检查考核，如乙方未能按照双方约定的工作质量及工作效率完成工作，甲方有权根据考核及考勤结果扣除服务费用。累计两个月不合格（服务质量考核得分不足</w:t>
      </w:r>
      <w:r>
        <w:rPr>
          <w:rFonts w:hint="eastAsia" w:ascii="仿宋" w:hAnsi="仿宋" w:eastAsia="仿宋" w:cs="仿宋"/>
          <w:color w:val="auto"/>
          <w:szCs w:val="21"/>
          <w:highlight w:val="none"/>
          <w:u w:val="single"/>
        </w:rPr>
        <w:t>85</w:t>
      </w:r>
      <w:r>
        <w:rPr>
          <w:rFonts w:hint="eastAsia" w:ascii="仿宋" w:hAnsi="仿宋" w:eastAsia="仿宋" w:cs="仿宋"/>
          <w:color w:val="auto"/>
          <w:szCs w:val="21"/>
          <w:highlight w:val="none"/>
        </w:rPr>
        <w:t>分但高于65分），乙方须赔偿由此给甲方造成的全部损失，并向甲方支付本合同金额的10%作为违约金。</w:t>
      </w:r>
    </w:p>
    <w:p w14:paraId="7E8B5B91">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3、 本合同执行期间甲方对乙方所有工作人员不负安全管理责任。乙方工作人员因履行本合同而向甲方主张任何权利的，应由乙方负责解决，与甲方无关。若因此给甲方造成任何损失的，由乙方负责全额赔偿。</w:t>
      </w:r>
    </w:p>
    <w:p w14:paraId="662A06AB">
      <w:pPr>
        <w:spacing w:line="360" w:lineRule="auto"/>
        <w:ind w:left="210" w:leftChars="100" w:firstLine="210" w:firstLineChars="100"/>
        <w:rPr>
          <w:rFonts w:ascii="仿宋" w:hAnsi="仿宋" w:eastAsia="仿宋" w:cs="仿宋"/>
          <w:color w:val="auto"/>
          <w:szCs w:val="21"/>
          <w:highlight w:val="none"/>
        </w:rPr>
      </w:pPr>
      <w:r>
        <w:rPr>
          <w:rFonts w:hint="eastAsia" w:ascii="仿宋" w:hAnsi="仿宋" w:eastAsia="仿宋" w:cs="仿宋"/>
          <w:color w:val="auto"/>
          <w:szCs w:val="21"/>
          <w:highlight w:val="none"/>
        </w:rPr>
        <w:t>4、乙方工作人员有不良行为者（如不服从甲方管理、上班喝酒、赌博、工作闲散等），甲方有权提出更换，乙方应在三日内无条件更换。否则，每发现一次，罚款500元（从当季度服务费中扣除）；累计达3次，视为乙方根本违约，乙方须赔偿由此给甲方造成的全部损失，并按合同总价10%支付违约金。乙方员工损坏、丢失甲方财物或因乙方原因出现的不安全因素和结果，乙方应负责全额赔偿相关费用。</w:t>
      </w:r>
    </w:p>
    <w:p w14:paraId="19E81BBF">
      <w:pPr>
        <w:spacing w:line="360" w:lineRule="auto"/>
        <w:rPr>
          <w:rFonts w:ascii="仿宋" w:hAnsi="仿宋" w:eastAsia="仿宋" w:cs="仿宋"/>
          <w:color w:val="auto"/>
          <w:szCs w:val="21"/>
          <w:highlight w:val="none"/>
        </w:rPr>
      </w:pPr>
      <w:r>
        <w:rPr>
          <w:rFonts w:hint="eastAsia" w:ascii="仿宋" w:hAnsi="仿宋" w:eastAsia="仿宋" w:cs="仿宋"/>
          <w:color w:val="auto"/>
          <w:szCs w:val="21"/>
          <w:highlight w:val="none"/>
        </w:rPr>
        <w:t>　　 5、甲方向乙方提供绿化维护用水、用电。</w:t>
      </w:r>
    </w:p>
    <w:p w14:paraId="3F86ED8F">
      <w:pPr>
        <w:spacing w:line="360" w:lineRule="auto"/>
        <w:ind w:firstLine="555"/>
        <w:rPr>
          <w:rFonts w:ascii="仿宋" w:hAnsi="仿宋" w:eastAsia="仿宋" w:cs="仿宋"/>
          <w:color w:val="auto"/>
          <w:szCs w:val="21"/>
          <w:highlight w:val="none"/>
        </w:rPr>
      </w:pPr>
      <w:r>
        <w:rPr>
          <w:rFonts w:hint="eastAsia" w:ascii="仿宋" w:hAnsi="仿宋" w:eastAsia="仿宋" w:cs="仿宋"/>
          <w:color w:val="auto"/>
          <w:szCs w:val="21"/>
          <w:highlight w:val="none"/>
        </w:rPr>
        <w:t>6、养护过程的质量、进度控制、合同管理和信息管理，施工中各种矛盾组织协调工作及全程监理。</w:t>
      </w:r>
    </w:p>
    <w:p w14:paraId="66F971A8">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7、甲方对项目服务人员进行日常考勤。</w:t>
      </w:r>
    </w:p>
    <w:p w14:paraId="577F0F51">
      <w:pPr>
        <w:spacing w:line="360" w:lineRule="auto"/>
        <w:ind w:firstLine="210" w:firstLineChars="100"/>
        <w:rPr>
          <w:rFonts w:ascii="仿宋" w:hAnsi="仿宋" w:eastAsia="仿宋" w:cs="仿宋"/>
          <w:color w:val="auto"/>
          <w:szCs w:val="21"/>
          <w:highlight w:val="none"/>
        </w:rPr>
      </w:pPr>
      <w:r>
        <w:rPr>
          <w:rFonts w:hint="eastAsia" w:ascii="仿宋" w:hAnsi="仿宋" w:eastAsia="仿宋" w:cs="仿宋"/>
          <w:color w:val="auto"/>
          <w:szCs w:val="21"/>
          <w:highlight w:val="none"/>
        </w:rPr>
        <w:t>　二、乙方权利与义务</w:t>
      </w:r>
    </w:p>
    <w:p w14:paraId="5847FE49">
      <w:pPr>
        <w:spacing w:line="360" w:lineRule="auto"/>
        <w:ind w:left="281" w:leftChars="134" w:firstLine="210" w:firstLineChars="100"/>
        <w:rPr>
          <w:rFonts w:ascii="仿宋" w:hAnsi="仿宋" w:eastAsia="仿宋" w:cs="仿宋"/>
          <w:color w:val="auto"/>
          <w:szCs w:val="21"/>
          <w:highlight w:val="none"/>
        </w:rPr>
      </w:pPr>
      <w:r>
        <w:rPr>
          <w:rFonts w:hint="eastAsia" w:ascii="仿宋" w:hAnsi="仿宋" w:eastAsia="仿宋" w:cs="仿宋"/>
          <w:color w:val="auto"/>
          <w:szCs w:val="21"/>
          <w:highlight w:val="none"/>
        </w:rPr>
        <w:t>1、 乙方所有工作人员应自觉遵守甲方各项规章制度，乙方所订各项制度应适合甲方</w:t>
      </w:r>
    </w:p>
    <w:p w14:paraId="01C3952F">
      <w:pPr>
        <w:spacing w:line="360" w:lineRule="auto"/>
        <w:rPr>
          <w:rFonts w:ascii="仿宋" w:hAnsi="仿宋" w:eastAsia="仿宋" w:cs="仿宋"/>
          <w:color w:val="auto"/>
          <w:szCs w:val="21"/>
          <w:highlight w:val="none"/>
        </w:rPr>
      </w:pPr>
      <w:r>
        <w:rPr>
          <w:rFonts w:hint="eastAsia" w:ascii="仿宋" w:hAnsi="仿宋" w:eastAsia="仿宋" w:cs="仿宋"/>
          <w:color w:val="auto"/>
          <w:szCs w:val="21"/>
          <w:highlight w:val="none"/>
        </w:rPr>
        <w:t>工作需要。乙方在不损害甲方利益的前提下对人员可以进行调整，调整前需征求甲方意见，甲方同意后，方可调整。每月3日前向甲方提供本月工作计划单。</w:t>
      </w:r>
    </w:p>
    <w:p w14:paraId="6B6515F2">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2 、乙方在甲方指定后勤专人领导和指导下，按质量标准完成服务范围内工作。自本合同签订之日后10日内向甲方提供切实可行的服务实施方案。否则，每延迟一日，扣除合同总金额千分之一的违约金；累计延迟15日的，视为乙方根本违约，甲方有权解除合同，合同自书面解除通知到达乙方之日起解除。合同解除后，乙方须赔偿由此给甲方造成的全部损失,并按合同总价10% 支付违约金。</w:t>
      </w:r>
    </w:p>
    <w:p w14:paraId="4090C43D">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3、乙方向甲方承诺本公司专业化能力，对不规范操作给甲方造成损失，又7日内无有效办法解决的，乙方应向甲方赔偿全部损失，并按合同总价10% 支付违约金。</w:t>
      </w:r>
    </w:p>
    <w:p w14:paraId="796EF66E">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4、提供所有维护及运行使用的工具、设备。</w:t>
      </w:r>
      <w:r>
        <w:rPr>
          <w:rFonts w:hint="eastAsia" w:ascii="仿宋" w:hAnsi="仿宋" w:eastAsia="仿宋" w:cs="仿宋"/>
          <w:color w:val="auto"/>
          <w:kern w:val="0"/>
          <w:szCs w:val="21"/>
          <w:highlight w:val="none"/>
        </w:rPr>
        <w:t>乙方自备及租赁的各类施工机械设备，必须符合国家技术标准和行业技术标准，且机械性能良好，各种安全防护装置齐全、灵敏、可靠。否则，由此造成双方工作人员或其他任何第三方人身及财产损害时，乙方负责全额赔偿，与甲方无关。</w:t>
      </w:r>
    </w:p>
    <w:p w14:paraId="564865A3">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5、对医院设施不得擅自占用和改变使用功能，如需改扩建完善配套项目，须报甲方和有关部门书面批准后方可实施。若乙方未经甲方书面批准，擅自占用或改变甲方设施，甲方有权要求其恢复原状并赔偿损失，乙方应在接到甲方通知后5日恢复原状并赔偿甲方全部损失。如乙方拒绝或怠于恢复原状的，甲方有权指定第三方予以恢复原状，所有费用均由乙方承担。甲方有权直接从服务费中扣除，服务费已付或不足以支付该费用的，由乙方另行支付。</w:t>
      </w:r>
    </w:p>
    <w:p w14:paraId="7A4D7CA8">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6、乙方在履行合同时遇医院及院外相关检查，一次不合格或被发现有转包合同的行为等，甲方有权终止合同，合同自书面解除通知送达乙方之日起解除，合同解除后，乙方须赔偿由此给甲方造成的全部损失，并扣除乙方全年合同款的10%作为违约金。</w:t>
      </w:r>
    </w:p>
    <w:p w14:paraId="0C9B4BDB">
      <w:pPr>
        <w:spacing w:line="360" w:lineRule="auto"/>
        <w:ind w:firstLine="480"/>
        <w:rPr>
          <w:rFonts w:ascii="仿宋" w:hAnsi="仿宋" w:eastAsia="仿宋" w:cs="仿宋"/>
          <w:color w:val="auto"/>
          <w:szCs w:val="21"/>
          <w:highlight w:val="none"/>
        </w:rPr>
      </w:pPr>
      <w:r>
        <w:rPr>
          <w:rFonts w:hint="eastAsia" w:ascii="仿宋" w:hAnsi="仿宋" w:eastAsia="仿宋" w:cs="仿宋"/>
          <w:color w:val="auto"/>
          <w:szCs w:val="21"/>
          <w:highlight w:val="none"/>
        </w:rPr>
        <w:t>7、乙方必须与委派或更换到甲方处的工作服务人员签订劳动合同，并依法为委派人员缴纳相应的社会保险，同时必须将相应的合同文本及足额缴纳的各项社会保险的凭证如实在甲方处备案，并加盖乙方公章。乙方委派或更换到甲方处的工作服务人员的工资、福利由乙方足额支付，如存在拖欠工资或福利的情形，乙方应及时协商解决，乙方委派或更换到甲方处的工作服务人员若因上述问题与乙方发生争议的，由乙方负责解决，与甲方无关。若因此给甲方造成任何损失的，由乙方负责全额赔偿。</w:t>
      </w:r>
    </w:p>
    <w:p w14:paraId="1A9BD89A">
      <w:pPr>
        <w:spacing w:line="360" w:lineRule="auto"/>
        <w:ind w:firstLine="480"/>
        <w:rPr>
          <w:rFonts w:ascii="仿宋" w:hAnsi="仿宋" w:eastAsia="仿宋" w:cs="仿宋"/>
          <w:color w:val="auto"/>
          <w:szCs w:val="21"/>
          <w:highlight w:val="none"/>
        </w:rPr>
      </w:pPr>
      <w:r>
        <w:rPr>
          <w:rFonts w:hint="eastAsia" w:ascii="仿宋" w:hAnsi="仿宋" w:eastAsia="仿宋" w:cs="仿宋"/>
          <w:color w:val="auto"/>
          <w:szCs w:val="21"/>
          <w:highlight w:val="none"/>
        </w:rPr>
        <w:t>8、乙方委派或更换到甲方处的工作服务人员在服务过程中如造成服务人员本人或甲方工作人员及其他第三方人身损害或经济损失的，由乙方负责解决并承担相应经济赔偿。</w:t>
      </w:r>
    </w:p>
    <w:p w14:paraId="695CDA43">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9、对于不符合甲方工作要求的人员或因人员离职等原因导致未能达到甲方工作要求的，自甲方提出更换或补充要求之日起，3个工作日内由乙方负责更换；对于外包人员请假等原因导致岗位临时空缺的，乙方必须立即补充专业人员。否则，由此给甲方造成任何损失的，乙方负责全额赔偿，并按合同总价10%支付违约金。</w:t>
      </w:r>
    </w:p>
    <w:p w14:paraId="1C71F6D7">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10、在履行本合同的过程中，乙方与第三方发生争议的，应由乙方独自承担责任，与甲方无关。若因此给甲方造成损失的，乙方应负责全额赔偿。</w:t>
      </w:r>
    </w:p>
    <w:p w14:paraId="5EBF6E2B">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11、委派现场经理专门负责对现场全面管理。项目经理要求常驻现场，确保每周在现场工作时间不得少于5天，项目经理要外出一天以上需向甲方请假，否则甲方单位有权按照300元/天进行处罚。乙方更换驻甲方现场项目负责人时，需要提前与甲方充分沟通并达成一致意见。</w:t>
      </w:r>
    </w:p>
    <w:p w14:paraId="782A90A1">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12、根据招磋商响应文件的条款以及本合同约定完成服务范围内的所有工作。</w:t>
      </w:r>
    </w:p>
    <w:p w14:paraId="0A197765">
      <w:pPr>
        <w:spacing w:line="360" w:lineRule="auto"/>
        <w:rPr>
          <w:rFonts w:ascii="仿宋" w:hAnsi="仿宋" w:eastAsia="仿宋" w:cs="仿宋"/>
          <w:color w:val="auto"/>
          <w:szCs w:val="21"/>
          <w:highlight w:val="none"/>
        </w:rPr>
      </w:pPr>
      <w:r>
        <w:rPr>
          <w:rFonts w:hint="eastAsia" w:ascii="仿宋" w:hAnsi="仿宋" w:eastAsia="仿宋" w:cs="仿宋"/>
          <w:color w:val="auto"/>
          <w:szCs w:val="21"/>
          <w:highlight w:val="none"/>
        </w:rPr>
        <w:t>　　13、按相关安全法规进行安全作业，遵守甲方现场管理的有关规定，承担在施工过程中的防火、防盗、防止事故发生等安全责任。若出现安全问题，责任由乙方自行承担，由此给甲方造成任何损失的，乙方承担全部赔偿责任。</w:t>
      </w:r>
    </w:p>
    <w:p w14:paraId="7D68E287">
      <w:pPr>
        <w:spacing w:line="360" w:lineRule="auto"/>
        <w:rPr>
          <w:rFonts w:ascii="仿宋" w:hAnsi="仿宋" w:eastAsia="仿宋" w:cs="仿宋"/>
          <w:color w:val="auto"/>
          <w:szCs w:val="21"/>
          <w:highlight w:val="none"/>
        </w:rPr>
      </w:pPr>
      <w:r>
        <w:rPr>
          <w:rFonts w:hint="eastAsia" w:ascii="仿宋" w:hAnsi="仿宋" w:eastAsia="仿宋" w:cs="仿宋"/>
          <w:color w:val="auto"/>
          <w:szCs w:val="21"/>
          <w:highlight w:val="none"/>
        </w:rPr>
        <w:t>　　14、现场交付甲方前，应负责现场的维护工作并清理现场所有垃圾，在此期间发生损坏的，由乙方自费予以修复并按合同约定交付甲方。</w:t>
      </w:r>
    </w:p>
    <w:p w14:paraId="326B6BDD">
      <w:pPr>
        <w:spacing w:line="360" w:lineRule="auto"/>
        <w:rPr>
          <w:rFonts w:ascii="仿宋" w:hAnsi="仿宋" w:eastAsia="仿宋" w:cs="仿宋"/>
          <w:color w:val="auto"/>
          <w:szCs w:val="21"/>
          <w:highlight w:val="none"/>
        </w:rPr>
      </w:pPr>
      <w:r>
        <w:rPr>
          <w:rFonts w:hint="eastAsia" w:ascii="仿宋" w:hAnsi="仿宋" w:eastAsia="仿宋" w:cs="仿宋"/>
          <w:color w:val="auto"/>
          <w:szCs w:val="21"/>
          <w:highlight w:val="none"/>
        </w:rPr>
        <w:t>　　15、乙方应确保服务质量达到验收标准。</w:t>
      </w:r>
    </w:p>
    <w:p w14:paraId="4D69FB28">
      <w:pPr>
        <w:spacing w:line="360" w:lineRule="auto"/>
        <w:ind w:firstLine="480"/>
        <w:rPr>
          <w:rFonts w:ascii="仿宋" w:hAnsi="仿宋" w:eastAsia="仿宋" w:cs="仿宋"/>
          <w:color w:val="auto"/>
          <w:szCs w:val="21"/>
          <w:highlight w:val="none"/>
        </w:rPr>
      </w:pPr>
      <w:r>
        <w:rPr>
          <w:rFonts w:hint="eastAsia" w:ascii="仿宋" w:hAnsi="仿宋" w:eastAsia="仿宋" w:cs="仿宋"/>
          <w:color w:val="auto"/>
          <w:szCs w:val="21"/>
          <w:highlight w:val="none"/>
        </w:rPr>
        <w:t>16、现场拔草或修剪的枯枝由乙方自行清理运输到院外垃圾处理站，保证绿化带干净整洁。</w:t>
      </w:r>
    </w:p>
    <w:p w14:paraId="3E913827">
      <w:pPr>
        <w:spacing w:line="360" w:lineRule="auto"/>
        <w:ind w:firstLine="420" w:firstLineChars="200"/>
        <w:rPr>
          <w:rFonts w:ascii="仿宋" w:hAnsi="仿宋" w:eastAsia="仿宋" w:cs="仿宋"/>
          <w:color w:val="auto"/>
          <w:kern w:val="0"/>
          <w:szCs w:val="21"/>
          <w:highlight w:val="none"/>
        </w:rPr>
      </w:pPr>
      <w:r>
        <w:rPr>
          <w:rFonts w:hint="eastAsia" w:ascii="仿宋" w:hAnsi="仿宋" w:eastAsia="仿宋" w:cs="仿宋"/>
          <w:color w:val="auto"/>
          <w:kern w:val="0"/>
          <w:szCs w:val="21"/>
          <w:highlight w:val="none"/>
        </w:rPr>
        <w:t>17、乙方必须按照国家规定，为从业人员配备符合国家标准和行业标准的劳动保护用品。否则，若因此给双方员工、甲方及第三人造成任何损失的，由乙方负责全额赔偿。</w:t>
      </w:r>
    </w:p>
    <w:p w14:paraId="283592B4">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kern w:val="0"/>
          <w:szCs w:val="21"/>
          <w:highlight w:val="none"/>
        </w:rPr>
        <w:t>18、乙方必须建立定期的安全生产检查制度，组织技术、安全人员自查、巡逻，自觉接受和配合上级及甲方有关部门的安全检查，及时消除安全事故隐患。乙方如果发生生产安全事故，必须负责伤亡者及其家属接待和善后处理工作。乙方承担因此而发生的一切费用。若因此给甲方造成损失的，由乙方负责全额赔偿。</w:t>
      </w:r>
    </w:p>
    <w:p w14:paraId="63F7AE9E">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kern w:val="0"/>
          <w:szCs w:val="21"/>
          <w:highlight w:val="none"/>
        </w:rPr>
        <w:t>19、乙方必须在施工现场危险部位、场所悬挂安全标志和警示牌，并认真维护和管理，不得随意拆除和挪动。</w:t>
      </w:r>
    </w:p>
    <w:p w14:paraId="28F89F7A">
      <w:pPr>
        <w:spacing w:line="360" w:lineRule="auto"/>
        <w:ind w:firstLine="420" w:firstLineChars="200"/>
        <w:jc w:val="left"/>
        <w:rPr>
          <w:rFonts w:ascii="仿宋" w:hAnsi="仿宋" w:eastAsia="仿宋" w:cs="仿宋"/>
          <w:color w:val="auto"/>
          <w:kern w:val="0"/>
          <w:szCs w:val="21"/>
          <w:highlight w:val="none"/>
        </w:rPr>
      </w:pPr>
      <w:r>
        <w:rPr>
          <w:rFonts w:hint="eastAsia" w:ascii="仿宋" w:hAnsi="仿宋" w:eastAsia="仿宋" w:cs="仿宋"/>
          <w:color w:val="auto"/>
          <w:kern w:val="0"/>
          <w:szCs w:val="21"/>
          <w:highlight w:val="none"/>
        </w:rPr>
        <w:t>20、乙方必须认真执行文明施工和卫生管理制度，保护环境，做到水、气、声、渣达标排放，保持院容院貌整洁和办公区、生活区的卫生整洁。</w:t>
      </w:r>
    </w:p>
    <w:p w14:paraId="7CD45D50">
      <w:pPr>
        <w:spacing w:line="360" w:lineRule="auto"/>
        <w:ind w:firstLine="422" w:firstLineChars="200"/>
        <w:rPr>
          <w:rFonts w:ascii="仿宋" w:hAnsi="仿宋" w:eastAsia="仿宋" w:cs="仿宋"/>
          <w:b/>
          <w:color w:val="auto"/>
          <w:szCs w:val="21"/>
          <w:highlight w:val="none"/>
        </w:rPr>
      </w:pPr>
      <w:r>
        <w:rPr>
          <w:rFonts w:hint="eastAsia" w:ascii="仿宋" w:hAnsi="仿宋" w:eastAsia="仿宋" w:cs="仿宋"/>
          <w:b/>
          <w:color w:val="auto"/>
          <w:szCs w:val="21"/>
          <w:highlight w:val="none"/>
        </w:rPr>
        <w:t>第七条 违约责任</w:t>
      </w:r>
    </w:p>
    <w:p w14:paraId="43865028">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1、按《民法典》中的相关条款执行。</w:t>
      </w:r>
    </w:p>
    <w:p w14:paraId="6146852F">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2、未按合同要求提供服务或服务质量不能满足合同要求，甲方应当将乙方违约的情况以及拟采取的措施以书面形式报政府采购监管部门，根据政府采购监管部门的处理意见，甲方有权依据《民法典》有关条款及合同约定终止合同，合同自书面解除通知到达乙方之日起解除，并按以下两种方式追究乙方违约责任：</w:t>
      </w:r>
    </w:p>
    <w:p w14:paraId="57EBDE46">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（1）乙方赔偿甲方解除合同的全部损失；</w:t>
      </w:r>
    </w:p>
    <w:p w14:paraId="5225B200">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（2）乙方支付甲方违约金，违约金计算方法：以合同总价为基数，支付甲方合同总价的10%为违约金。</w:t>
      </w:r>
    </w:p>
    <w:p w14:paraId="4C41F83B">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同时，政府采购监管部门有权依据《政府采购法》及相关法律法规对服务商的违法行为进行相应的处罚。</w:t>
      </w:r>
    </w:p>
    <w:p w14:paraId="73B08AC8">
      <w:pPr>
        <w:spacing w:line="360" w:lineRule="auto"/>
        <w:rPr>
          <w:rFonts w:ascii="仿宋" w:hAnsi="仿宋" w:eastAsia="仿宋" w:cs="仿宋"/>
          <w:color w:val="auto"/>
          <w:szCs w:val="21"/>
          <w:highlight w:val="none"/>
        </w:rPr>
      </w:pPr>
      <w:r>
        <w:rPr>
          <w:rFonts w:hint="eastAsia" w:ascii="仿宋" w:hAnsi="仿宋" w:eastAsia="仿宋" w:cs="仿宋"/>
          <w:color w:val="auto"/>
          <w:szCs w:val="21"/>
          <w:highlight w:val="none"/>
        </w:rPr>
        <w:t>　　3、项目质量达不到约定标准，乙方应无条件进行返工，因返工所产生的一切费用由乙方承担，并向甲方支付合同总价1%的违约金。</w:t>
      </w:r>
    </w:p>
    <w:p w14:paraId="7085E113">
      <w:pPr>
        <w:spacing w:line="360" w:lineRule="auto"/>
        <w:ind w:firstLine="480"/>
        <w:rPr>
          <w:rFonts w:ascii="仿宋" w:hAnsi="仿宋" w:eastAsia="仿宋" w:cs="仿宋"/>
          <w:color w:val="auto"/>
          <w:szCs w:val="21"/>
          <w:highlight w:val="none"/>
        </w:rPr>
      </w:pPr>
      <w:r>
        <w:rPr>
          <w:rFonts w:hint="eastAsia" w:ascii="仿宋" w:hAnsi="仿宋" w:eastAsia="仿宋" w:cs="仿宋"/>
          <w:color w:val="auto"/>
          <w:szCs w:val="21"/>
          <w:highlight w:val="none"/>
        </w:rPr>
        <w:t>4、乙方在维护过程中，除不可抗力或甲方原因外不得以任何理由停工，非上述原因连续停工三个工作日以上的，甲方有权解除合同（合同自甲方书面解除通知到达乙方之日起解除），乙方应按照合同总价的10%承担违约责任，若造成甲方工作延误或其他损失的，乙方应予全额赔偿。</w:t>
      </w:r>
    </w:p>
    <w:p w14:paraId="0554425F">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5、合同终止</w:t>
      </w:r>
    </w:p>
    <w:p w14:paraId="71202F42">
      <w:pPr>
        <w:spacing w:line="360" w:lineRule="auto"/>
        <w:rPr>
          <w:rFonts w:ascii="仿宋" w:hAnsi="仿宋" w:eastAsia="仿宋" w:cs="仿宋"/>
          <w:color w:val="auto"/>
          <w:szCs w:val="21"/>
          <w:highlight w:val="none"/>
        </w:rPr>
      </w:pPr>
      <w:r>
        <w:rPr>
          <w:rFonts w:hint="eastAsia" w:ascii="仿宋" w:hAnsi="仿宋" w:eastAsia="仿宋" w:cs="仿宋"/>
          <w:color w:val="auto"/>
          <w:szCs w:val="21"/>
          <w:highlight w:val="none"/>
        </w:rPr>
        <w:t>　　5.1因解除而终止</w:t>
      </w:r>
    </w:p>
    <w:p w14:paraId="3197B525">
      <w:pPr>
        <w:spacing w:line="360" w:lineRule="auto"/>
        <w:rPr>
          <w:rFonts w:ascii="仿宋" w:hAnsi="仿宋" w:eastAsia="仿宋" w:cs="仿宋"/>
          <w:color w:val="auto"/>
          <w:szCs w:val="21"/>
          <w:highlight w:val="none"/>
        </w:rPr>
      </w:pPr>
      <w:r>
        <w:rPr>
          <w:rFonts w:hint="eastAsia" w:ascii="仿宋" w:hAnsi="仿宋" w:eastAsia="仿宋" w:cs="仿宋"/>
          <w:color w:val="auto"/>
          <w:szCs w:val="21"/>
          <w:highlight w:val="none"/>
        </w:rPr>
        <w:t>　　由于乙方违约造成本合同继续履行将损害国家利益和社会公共利益，则甲方有权向乙方发出解除本合同的书面通知，该通知自送达乙方时生效，乙方应按本合同约定承担违约责任。</w:t>
      </w:r>
    </w:p>
    <w:p w14:paraId="423BCAE7">
      <w:pPr>
        <w:spacing w:line="360" w:lineRule="auto"/>
        <w:rPr>
          <w:rFonts w:ascii="仿宋" w:hAnsi="仿宋" w:eastAsia="仿宋" w:cs="仿宋"/>
          <w:color w:val="auto"/>
          <w:szCs w:val="21"/>
          <w:highlight w:val="none"/>
        </w:rPr>
      </w:pPr>
      <w:r>
        <w:rPr>
          <w:rFonts w:hint="eastAsia" w:ascii="仿宋" w:hAnsi="仿宋" w:eastAsia="仿宋" w:cs="仿宋"/>
          <w:color w:val="auto"/>
          <w:szCs w:val="21"/>
          <w:highlight w:val="none"/>
        </w:rPr>
        <w:t>　　5.2有下列情形之一的，合同权利义务终止：</w:t>
      </w:r>
    </w:p>
    <w:p w14:paraId="43B8C45E">
      <w:pPr>
        <w:spacing w:line="360" w:lineRule="auto"/>
        <w:rPr>
          <w:rFonts w:ascii="仿宋" w:hAnsi="仿宋" w:eastAsia="仿宋" w:cs="仿宋"/>
          <w:color w:val="auto"/>
          <w:szCs w:val="21"/>
          <w:highlight w:val="none"/>
        </w:rPr>
      </w:pPr>
      <w:r>
        <w:rPr>
          <w:rFonts w:hint="eastAsia" w:ascii="仿宋" w:hAnsi="仿宋" w:eastAsia="仿宋" w:cs="仿宋"/>
          <w:color w:val="auto"/>
          <w:szCs w:val="21"/>
          <w:highlight w:val="none"/>
        </w:rPr>
        <w:t>　　（1）本合同按约定履行完毕；</w:t>
      </w:r>
    </w:p>
    <w:p w14:paraId="7D4D9A41">
      <w:pPr>
        <w:spacing w:line="360" w:lineRule="auto"/>
        <w:rPr>
          <w:rFonts w:ascii="仿宋" w:hAnsi="仿宋" w:eastAsia="仿宋" w:cs="仿宋"/>
          <w:color w:val="auto"/>
          <w:szCs w:val="21"/>
          <w:highlight w:val="none"/>
        </w:rPr>
      </w:pPr>
      <w:r>
        <w:rPr>
          <w:rFonts w:hint="eastAsia" w:ascii="仿宋" w:hAnsi="仿宋" w:eastAsia="仿宋" w:cs="仿宋"/>
          <w:color w:val="auto"/>
          <w:szCs w:val="21"/>
          <w:highlight w:val="none"/>
        </w:rPr>
        <w:t>　　（2）法律法规规定终止的其他情形。</w:t>
      </w:r>
    </w:p>
    <w:p w14:paraId="122EC013">
      <w:pPr>
        <w:spacing w:line="360" w:lineRule="auto"/>
        <w:ind w:firstLine="422" w:firstLineChars="200"/>
        <w:rPr>
          <w:rFonts w:ascii="仿宋" w:hAnsi="仿宋" w:eastAsia="仿宋" w:cs="仿宋"/>
          <w:b/>
          <w:color w:val="auto"/>
          <w:szCs w:val="21"/>
          <w:highlight w:val="none"/>
        </w:rPr>
      </w:pPr>
      <w:r>
        <w:rPr>
          <w:rFonts w:hint="eastAsia" w:ascii="仿宋" w:hAnsi="仿宋" w:eastAsia="仿宋" w:cs="仿宋"/>
          <w:b/>
          <w:color w:val="auto"/>
          <w:szCs w:val="21"/>
          <w:highlight w:val="none"/>
        </w:rPr>
        <w:t>第八条：争议的解决</w:t>
      </w:r>
    </w:p>
    <w:p w14:paraId="357237CD">
      <w:pPr>
        <w:spacing w:line="360" w:lineRule="auto"/>
        <w:ind w:firstLine="465"/>
        <w:rPr>
          <w:rFonts w:ascii="仿宋" w:hAnsi="仿宋" w:eastAsia="仿宋" w:cs="仿宋"/>
          <w:color w:val="auto"/>
          <w:szCs w:val="21"/>
          <w:highlight w:val="none"/>
        </w:rPr>
      </w:pPr>
      <w:r>
        <w:rPr>
          <w:rFonts w:hint="eastAsia" w:ascii="仿宋" w:hAnsi="仿宋" w:eastAsia="仿宋" w:cs="仿宋"/>
          <w:color w:val="auto"/>
          <w:szCs w:val="21"/>
          <w:highlight w:val="none"/>
        </w:rPr>
        <w:t>凡因执行本合同所发生的或与本合同有关的一切争议，合同各方应通过友好协商解决；如果协商不能，可向甲方所在地人民法院起诉。</w:t>
      </w:r>
    </w:p>
    <w:p w14:paraId="57CBEEF4">
      <w:pPr>
        <w:spacing w:line="360" w:lineRule="auto"/>
        <w:ind w:firstLine="422" w:firstLineChars="200"/>
        <w:rPr>
          <w:rFonts w:ascii="仿宋" w:hAnsi="仿宋" w:eastAsia="仿宋" w:cs="仿宋"/>
          <w:b/>
          <w:color w:val="auto"/>
          <w:szCs w:val="21"/>
          <w:highlight w:val="none"/>
        </w:rPr>
      </w:pPr>
      <w:r>
        <w:rPr>
          <w:rFonts w:hint="eastAsia" w:ascii="仿宋" w:hAnsi="仿宋" w:eastAsia="仿宋" w:cs="仿宋"/>
          <w:b/>
          <w:color w:val="auto"/>
          <w:szCs w:val="21"/>
          <w:highlight w:val="none"/>
        </w:rPr>
        <w:t>第九条：合同生效及其他</w:t>
      </w:r>
    </w:p>
    <w:p w14:paraId="6A373331">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1、本合同壹式</w:t>
      </w:r>
      <w:r>
        <w:rPr>
          <w:rFonts w:hint="eastAsia" w:ascii="仿宋" w:hAnsi="仿宋" w:eastAsia="仿宋" w:cs="仿宋"/>
          <w:color w:val="auto"/>
          <w:szCs w:val="21"/>
          <w:highlight w:val="none"/>
          <w:u w:val="single"/>
        </w:rPr>
        <w:t>陆</w:t>
      </w:r>
      <w:r>
        <w:rPr>
          <w:rFonts w:hint="eastAsia" w:ascii="仿宋" w:hAnsi="仿宋" w:eastAsia="仿宋" w:cs="仿宋"/>
          <w:color w:val="auto"/>
          <w:szCs w:val="21"/>
          <w:highlight w:val="none"/>
        </w:rPr>
        <w:t>份，甲方持</w:t>
      </w:r>
      <w:r>
        <w:rPr>
          <w:rFonts w:hint="eastAsia" w:ascii="仿宋" w:hAnsi="仿宋" w:eastAsia="仿宋" w:cs="仿宋"/>
          <w:color w:val="auto"/>
          <w:szCs w:val="21"/>
          <w:highlight w:val="none"/>
          <w:u w:val="single"/>
        </w:rPr>
        <w:t>叁</w:t>
      </w:r>
      <w:r>
        <w:rPr>
          <w:rFonts w:hint="eastAsia" w:ascii="仿宋" w:hAnsi="仿宋" w:eastAsia="仿宋" w:cs="仿宋"/>
          <w:color w:val="auto"/>
          <w:szCs w:val="21"/>
          <w:highlight w:val="none"/>
        </w:rPr>
        <w:t>份，乙方持</w:t>
      </w:r>
      <w:r>
        <w:rPr>
          <w:rFonts w:hint="eastAsia" w:ascii="仿宋" w:hAnsi="仿宋" w:eastAsia="仿宋" w:cs="仿宋"/>
          <w:color w:val="auto"/>
          <w:szCs w:val="21"/>
          <w:highlight w:val="none"/>
          <w:u w:val="single"/>
        </w:rPr>
        <w:t>壹</w:t>
      </w:r>
      <w:r>
        <w:rPr>
          <w:rFonts w:hint="eastAsia" w:ascii="仿宋" w:hAnsi="仿宋" w:eastAsia="仿宋" w:cs="仿宋"/>
          <w:color w:val="auto"/>
          <w:szCs w:val="21"/>
          <w:highlight w:val="none"/>
        </w:rPr>
        <w:t>份，鉴证方备案</w:t>
      </w:r>
      <w:r>
        <w:rPr>
          <w:rFonts w:hint="eastAsia" w:ascii="仿宋" w:hAnsi="仿宋" w:eastAsia="仿宋" w:cs="仿宋"/>
          <w:color w:val="auto"/>
          <w:szCs w:val="21"/>
          <w:highlight w:val="none"/>
          <w:u w:val="single"/>
        </w:rPr>
        <w:t>壹</w:t>
      </w:r>
      <w:r>
        <w:rPr>
          <w:rFonts w:hint="eastAsia" w:ascii="仿宋" w:hAnsi="仿宋" w:eastAsia="仿宋" w:cs="仿宋"/>
          <w:color w:val="auto"/>
          <w:szCs w:val="21"/>
          <w:highlight w:val="none"/>
        </w:rPr>
        <w:t>份，西安市财政局政府采购管理处备案</w:t>
      </w:r>
      <w:r>
        <w:rPr>
          <w:rFonts w:hint="eastAsia" w:ascii="仿宋" w:hAnsi="仿宋" w:eastAsia="仿宋" w:cs="仿宋"/>
          <w:color w:val="auto"/>
          <w:szCs w:val="21"/>
          <w:highlight w:val="none"/>
          <w:u w:val="single"/>
        </w:rPr>
        <w:t>壹</w:t>
      </w:r>
      <w:r>
        <w:rPr>
          <w:rFonts w:hint="eastAsia" w:ascii="仿宋" w:hAnsi="仿宋" w:eastAsia="仿宋" w:cs="仿宋"/>
          <w:color w:val="auto"/>
          <w:szCs w:val="21"/>
          <w:highlight w:val="none"/>
        </w:rPr>
        <w:t>份。本合同甲、乙签字盖章后生效，合同执行完毕后，自动失效（合同的服务承诺则长期有效）。</w:t>
      </w:r>
    </w:p>
    <w:p w14:paraId="5D75337B">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2、如本合同有未尽事宜，以招标文件为准，招标文件未做要求的，由双方依法订立补充合同，补充合同与原合同具有同等法律效力，原合同与补充合同条款有不一致，以补充合同为准。</w:t>
      </w:r>
    </w:p>
    <w:p w14:paraId="0BD9324A">
      <w:pPr>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3、本合同附件是本合同的组成部分，与本合同具有同等法律效力效力。</w:t>
      </w:r>
    </w:p>
    <w:p w14:paraId="4E091890">
      <w:pPr>
        <w:spacing w:line="360" w:lineRule="auto"/>
        <w:ind w:firstLine="630" w:firstLineChars="300"/>
        <w:rPr>
          <w:rFonts w:ascii="仿宋" w:hAnsi="仿宋" w:eastAsia="仿宋" w:cs="仿宋"/>
          <w:color w:val="auto"/>
          <w:szCs w:val="21"/>
          <w:highlight w:val="none"/>
        </w:rPr>
      </w:pPr>
    </w:p>
    <w:p w14:paraId="1FCD1F81">
      <w:pPr>
        <w:spacing w:line="360" w:lineRule="auto"/>
        <w:ind w:firstLine="630" w:firstLineChars="300"/>
        <w:rPr>
          <w:rFonts w:ascii="仿宋" w:hAnsi="仿宋" w:eastAsia="仿宋" w:cs="仿宋"/>
          <w:color w:val="auto"/>
          <w:szCs w:val="21"/>
          <w:highlight w:val="none"/>
        </w:rPr>
      </w:pPr>
    </w:p>
    <w:p w14:paraId="74CE413C">
      <w:pPr>
        <w:spacing w:line="360" w:lineRule="auto"/>
        <w:jc w:val="left"/>
        <w:rPr>
          <w:rFonts w:ascii="仿宋" w:hAnsi="仿宋" w:eastAsia="仿宋" w:cs="仿宋"/>
          <w:color w:val="auto"/>
          <w:szCs w:val="21"/>
          <w:highlight w:val="none"/>
        </w:rPr>
      </w:pPr>
    </w:p>
    <w:p w14:paraId="7C6B5E7C">
      <w:pPr>
        <w:tabs>
          <w:tab w:val="left" w:pos="480"/>
        </w:tabs>
        <w:spacing w:line="360" w:lineRule="auto"/>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（以下无正文）</w:t>
      </w:r>
      <w:r>
        <w:rPr>
          <w:rFonts w:hint="eastAsia" w:ascii="仿宋" w:hAnsi="仿宋" w:eastAsia="仿宋" w:cs="仿宋"/>
          <w:color w:val="auto"/>
          <w:szCs w:val="21"/>
          <w:highlight w:val="none"/>
        </w:rPr>
        <w:br w:type="page"/>
      </w:r>
      <w:r>
        <w:rPr>
          <w:rFonts w:hint="eastAsia" w:ascii="仿宋" w:hAnsi="仿宋" w:eastAsia="仿宋" w:cs="仿宋"/>
          <w:color w:val="auto"/>
          <w:szCs w:val="21"/>
          <w:highlight w:val="none"/>
        </w:rPr>
        <w:t>甲  方（法人公章）                  乙  方（法人公章）</w:t>
      </w:r>
    </w:p>
    <w:p w14:paraId="3803CD20">
      <w:pPr>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单位名称：西安市第三医院            单位名称:</w:t>
      </w:r>
    </w:p>
    <w:p w14:paraId="3855CDC6">
      <w:pPr>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地  址：西安市凤城三路东段10号     地  址：</w:t>
      </w:r>
    </w:p>
    <w:p w14:paraId="64A6D902">
      <w:pPr>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 xml:space="preserve">法定代表人：（签章）                法定代表人：（签字） </w:t>
      </w:r>
    </w:p>
    <w:p w14:paraId="1AA440AD">
      <w:pPr>
        <w:spacing w:line="360" w:lineRule="auto"/>
        <w:ind w:firstLine="3780" w:firstLineChars="1800"/>
        <w:jc w:val="left"/>
        <w:rPr>
          <w:rFonts w:ascii="仿宋" w:hAnsi="仿宋" w:eastAsia="仿宋" w:cs="仿宋"/>
          <w:color w:val="auto"/>
          <w:szCs w:val="21"/>
          <w:highlight w:val="none"/>
        </w:rPr>
      </w:pPr>
      <w:r>
        <w:rPr>
          <w:rFonts w:hint="eastAsia" w:ascii="仿宋" w:hAnsi="仿宋" w:eastAsia="仿宋" w:cs="仿宋"/>
          <w:color w:val="auto"/>
          <w:szCs w:val="21"/>
          <w:highlight w:val="none"/>
        </w:rPr>
        <w:t>开户银行:</w:t>
      </w:r>
    </w:p>
    <w:p w14:paraId="320B5519">
      <w:pPr>
        <w:spacing w:line="360" w:lineRule="auto"/>
        <w:ind w:firstLine="1260" w:firstLineChars="600"/>
        <w:jc w:val="left"/>
        <w:rPr>
          <w:rFonts w:ascii="仿宋" w:hAnsi="仿宋" w:eastAsia="仿宋" w:cs="仿宋"/>
          <w:color w:val="auto"/>
          <w:szCs w:val="21"/>
          <w:highlight w:val="none"/>
        </w:rPr>
      </w:pPr>
      <w:r>
        <w:rPr>
          <w:rFonts w:hint="eastAsia" w:ascii="仿宋" w:hAnsi="仿宋" w:eastAsia="仿宋" w:cs="仿宋"/>
          <w:color w:val="auto"/>
          <w:szCs w:val="21"/>
          <w:highlight w:val="none"/>
        </w:rPr>
        <w:t xml:space="preserve">                        帐    号：</w:t>
      </w:r>
    </w:p>
    <w:p w14:paraId="11266156">
      <w:pPr>
        <w:tabs>
          <w:tab w:val="left" w:pos="480"/>
        </w:tabs>
        <w:spacing w:line="360" w:lineRule="auto"/>
        <w:rPr>
          <w:rFonts w:ascii="仿宋" w:hAnsi="仿宋" w:eastAsia="仿宋" w:cs="仿宋"/>
          <w:color w:val="auto"/>
          <w:szCs w:val="21"/>
          <w:highlight w:val="none"/>
        </w:rPr>
      </w:pPr>
      <w:r>
        <w:rPr>
          <w:rFonts w:hint="eastAsia" w:ascii="仿宋" w:hAnsi="仿宋" w:eastAsia="仿宋" w:cs="仿宋"/>
          <w:color w:val="auto"/>
          <w:szCs w:val="21"/>
          <w:highlight w:val="none"/>
        </w:rPr>
        <w:t>联系电话：                          联系电话：</w:t>
      </w:r>
    </w:p>
    <w:p w14:paraId="50B85691">
      <w:pPr>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签订日期：    年  月    日          签订日期： 年 月 日</w:t>
      </w:r>
    </w:p>
    <w:p w14:paraId="25E90D85">
      <w:pPr>
        <w:spacing w:line="360" w:lineRule="auto"/>
        <w:jc w:val="left"/>
        <w:rPr>
          <w:rFonts w:ascii="仿宋" w:hAnsi="仿宋" w:eastAsia="仿宋" w:cs="仿宋"/>
          <w:color w:val="auto"/>
          <w:szCs w:val="21"/>
          <w:highlight w:val="none"/>
        </w:rPr>
      </w:pPr>
    </w:p>
    <w:p w14:paraId="47FB58F9">
      <w:pPr>
        <w:spacing w:line="360" w:lineRule="auto"/>
        <w:jc w:val="left"/>
        <w:rPr>
          <w:rFonts w:ascii="仿宋" w:hAnsi="仿宋" w:eastAsia="仿宋" w:cs="仿宋"/>
          <w:color w:val="auto"/>
          <w:szCs w:val="21"/>
          <w:highlight w:val="none"/>
        </w:rPr>
      </w:pPr>
    </w:p>
    <w:p w14:paraId="5C037D31">
      <w:pPr>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见证方（业务专用章）</w:t>
      </w:r>
    </w:p>
    <w:p w14:paraId="125CA0EA">
      <w:pPr>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 xml:space="preserve">单位名称： </w:t>
      </w:r>
    </w:p>
    <w:p w14:paraId="0E2022CD">
      <w:pPr>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 xml:space="preserve">地    址： </w:t>
      </w:r>
    </w:p>
    <w:p w14:paraId="2976998C">
      <w:pPr>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法定代表人：</w:t>
      </w:r>
    </w:p>
    <w:p w14:paraId="437DD620">
      <w:pPr>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签订日期：年  月  日</w:t>
      </w:r>
    </w:p>
    <w:p w14:paraId="2300CCDC">
      <w:pPr>
        <w:pStyle w:val="3"/>
        <w:spacing w:after="156"/>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br w:type="page"/>
      </w:r>
    </w:p>
    <w:p w14:paraId="5F1F4516">
      <w:pPr>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附件：考核标准</w:t>
      </w:r>
    </w:p>
    <w:tbl>
      <w:tblPr>
        <w:tblStyle w:val="4"/>
        <w:tblW w:w="8316"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0" w:type="dxa"/>
          <w:bottom w:w="0" w:type="dxa"/>
          <w:right w:w="0" w:type="dxa"/>
        </w:tblCellMar>
      </w:tblPr>
      <w:tblGrid>
        <w:gridCol w:w="606"/>
        <w:gridCol w:w="906"/>
        <w:gridCol w:w="5792"/>
        <w:gridCol w:w="1012"/>
      </w:tblGrid>
      <w:tr w14:paraId="07BBDD9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trHeight w:val="315" w:hRule="atLeast"/>
          <w:tblHeader/>
          <w:jc w:val="center"/>
        </w:trPr>
        <w:tc>
          <w:tcPr>
            <w:tcW w:w="606" w:type="dxa"/>
            <w:tcBorders>
              <w:top w:val="single" w:color="auto" w:sz="4" w:space="0"/>
            </w:tcBorders>
            <w:vAlign w:val="center"/>
          </w:tcPr>
          <w:p w14:paraId="14394BF4">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类别</w:t>
            </w:r>
          </w:p>
        </w:tc>
        <w:tc>
          <w:tcPr>
            <w:tcW w:w="906" w:type="dxa"/>
            <w:tcBorders>
              <w:top w:val="single" w:color="auto" w:sz="4" w:space="0"/>
            </w:tcBorders>
            <w:tcMar>
              <w:top w:w="17" w:type="dxa"/>
              <w:left w:w="17" w:type="dxa"/>
              <w:bottom w:w="0" w:type="dxa"/>
              <w:right w:w="17" w:type="dxa"/>
            </w:tcMar>
            <w:vAlign w:val="center"/>
          </w:tcPr>
          <w:p w14:paraId="6F6EF8DB">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检查项目</w:t>
            </w:r>
          </w:p>
        </w:tc>
        <w:tc>
          <w:tcPr>
            <w:tcW w:w="5792" w:type="dxa"/>
            <w:tcBorders>
              <w:top w:val="single" w:color="auto" w:sz="4" w:space="0"/>
            </w:tcBorders>
            <w:tcMar>
              <w:top w:w="17" w:type="dxa"/>
              <w:left w:w="17" w:type="dxa"/>
              <w:bottom w:w="0" w:type="dxa"/>
              <w:right w:w="17" w:type="dxa"/>
            </w:tcMar>
            <w:vAlign w:val="center"/>
          </w:tcPr>
          <w:p w14:paraId="3B8586BB">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检查标准</w:t>
            </w:r>
          </w:p>
        </w:tc>
        <w:tc>
          <w:tcPr>
            <w:tcW w:w="1012" w:type="dxa"/>
            <w:tcBorders>
              <w:top w:val="single" w:color="auto" w:sz="4" w:space="0"/>
            </w:tcBorders>
            <w:vAlign w:val="center"/>
          </w:tcPr>
          <w:p w14:paraId="2084E076">
            <w:pPr>
              <w:tabs>
                <w:tab w:val="left" w:pos="271"/>
              </w:tabs>
              <w:jc w:val="center"/>
              <w:rPr>
                <w:rFonts w:ascii="仿宋" w:hAnsi="仿宋" w:eastAsia="仿宋" w:cs="仿宋"/>
                <w:color w:val="auto"/>
                <w:szCs w:val="21"/>
                <w:highlight w:val="none"/>
              </w:rPr>
            </w:pPr>
            <w:r>
              <w:rPr>
                <w:rFonts w:hint="eastAsia" w:ascii="仿宋" w:hAnsi="仿宋" w:eastAsia="仿宋" w:cs="仿宋"/>
                <w:color w:val="auto"/>
                <w:szCs w:val="21"/>
                <w:highlight w:val="none"/>
              </w:rPr>
              <w:t>考核扣分标准</w:t>
            </w:r>
          </w:p>
        </w:tc>
      </w:tr>
      <w:tr w14:paraId="0A0FE3B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restart"/>
            <w:vAlign w:val="center"/>
          </w:tcPr>
          <w:p w14:paraId="259A9B09">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职责</w:t>
            </w:r>
          </w:p>
          <w:p w14:paraId="695D23C2">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履行</w:t>
            </w:r>
          </w:p>
          <w:p w14:paraId="0729B0B4">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20分</w:t>
            </w:r>
          </w:p>
        </w:tc>
        <w:tc>
          <w:tcPr>
            <w:tcW w:w="906" w:type="dxa"/>
            <w:vMerge w:val="restart"/>
            <w:tcMar>
              <w:top w:w="17" w:type="dxa"/>
              <w:left w:w="17" w:type="dxa"/>
              <w:bottom w:w="0" w:type="dxa"/>
              <w:right w:w="17" w:type="dxa"/>
            </w:tcMar>
            <w:vAlign w:val="center"/>
          </w:tcPr>
          <w:p w14:paraId="1775018C">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center"/>
          </w:tcPr>
          <w:p w14:paraId="6B96A93D">
            <w:pPr>
              <w:rPr>
                <w:rFonts w:ascii="仿宋" w:hAnsi="仿宋" w:eastAsia="仿宋" w:cs="仿宋"/>
                <w:color w:val="auto"/>
                <w:szCs w:val="21"/>
                <w:highlight w:val="none"/>
              </w:rPr>
            </w:pPr>
            <w:r>
              <w:rPr>
                <w:rFonts w:hint="eastAsia" w:ascii="仿宋" w:hAnsi="仿宋" w:eastAsia="仿宋" w:cs="仿宋"/>
                <w:color w:val="auto"/>
                <w:szCs w:val="21"/>
                <w:highlight w:val="none"/>
              </w:rPr>
              <w:t>是否能够服从医院安排。</w:t>
            </w:r>
          </w:p>
        </w:tc>
        <w:tc>
          <w:tcPr>
            <w:tcW w:w="1012" w:type="dxa"/>
            <w:vMerge w:val="restart"/>
            <w:vAlign w:val="center"/>
          </w:tcPr>
          <w:p w14:paraId="21FD8220">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每出现一次/处不合格，扣</w:t>
            </w:r>
            <w:r>
              <w:rPr>
                <w:rFonts w:hint="eastAsia" w:ascii="仿宋" w:hAnsi="仿宋" w:eastAsia="仿宋" w:cs="仿宋"/>
                <w:bCs/>
                <w:color w:val="auto"/>
                <w:szCs w:val="21"/>
                <w:highlight w:val="none"/>
              </w:rPr>
              <w:t>5</w:t>
            </w:r>
            <w:r>
              <w:rPr>
                <w:rFonts w:hint="eastAsia" w:ascii="仿宋" w:hAnsi="仿宋" w:eastAsia="仿宋" w:cs="仿宋"/>
                <w:color w:val="auto"/>
                <w:szCs w:val="21"/>
                <w:highlight w:val="none"/>
              </w:rPr>
              <w:t>分</w:t>
            </w:r>
          </w:p>
        </w:tc>
      </w:tr>
      <w:tr w14:paraId="4BFCE2C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37F5967A">
            <w:pPr>
              <w:jc w:val="center"/>
              <w:rPr>
                <w:rFonts w:ascii="仿宋" w:hAnsi="仿宋" w:eastAsia="仿宋" w:cs="仿宋"/>
                <w:color w:val="auto"/>
                <w:szCs w:val="21"/>
                <w:highlight w:val="none"/>
              </w:rPr>
            </w:pPr>
          </w:p>
        </w:tc>
        <w:tc>
          <w:tcPr>
            <w:tcW w:w="906" w:type="dxa"/>
            <w:vMerge w:val="continue"/>
            <w:tcMar>
              <w:top w:w="17" w:type="dxa"/>
              <w:left w:w="17" w:type="dxa"/>
              <w:bottom w:w="0" w:type="dxa"/>
              <w:right w:w="17" w:type="dxa"/>
            </w:tcMar>
            <w:vAlign w:val="center"/>
          </w:tcPr>
          <w:p w14:paraId="4C4277FB">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center"/>
          </w:tcPr>
          <w:p w14:paraId="1A7AF82F">
            <w:pPr>
              <w:rPr>
                <w:rFonts w:ascii="仿宋" w:hAnsi="仿宋" w:eastAsia="仿宋" w:cs="仿宋"/>
                <w:color w:val="auto"/>
                <w:szCs w:val="21"/>
                <w:highlight w:val="none"/>
              </w:rPr>
            </w:pPr>
            <w:r>
              <w:rPr>
                <w:rFonts w:hint="eastAsia" w:ascii="仿宋" w:hAnsi="仿宋" w:eastAsia="仿宋" w:cs="仿宋"/>
                <w:color w:val="auto"/>
                <w:szCs w:val="21"/>
                <w:highlight w:val="none"/>
              </w:rPr>
              <w:t>是否按要求在岗。</w:t>
            </w:r>
          </w:p>
        </w:tc>
        <w:tc>
          <w:tcPr>
            <w:tcW w:w="1012" w:type="dxa"/>
            <w:vMerge w:val="continue"/>
            <w:vAlign w:val="center"/>
          </w:tcPr>
          <w:p w14:paraId="67437E30">
            <w:pPr>
              <w:jc w:val="center"/>
              <w:rPr>
                <w:rFonts w:ascii="仿宋" w:hAnsi="仿宋" w:eastAsia="仿宋" w:cs="仿宋"/>
                <w:color w:val="auto"/>
                <w:szCs w:val="21"/>
                <w:highlight w:val="none"/>
              </w:rPr>
            </w:pPr>
          </w:p>
        </w:tc>
      </w:tr>
      <w:tr w14:paraId="73720FA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138D2FE9">
            <w:pPr>
              <w:jc w:val="center"/>
              <w:rPr>
                <w:rFonts w:ascii="仿宋" w:hAnsi="仿宋" w:eastAsia="仿宋" w:cs="仿宋"/>
                <w:color w:val="auto"/>
                <w:szCs w:val="21"/>
                <w:highlight w:val="none"/>
              </w:rPr>
            </w:pPr>
          </w:p>
        </w:tc>
        <w:tc>
          <w:tcPr>
            <w:tcW w:w="906" w:type="dxa"/>
            <w:vMerge w:val="continue"/>
            <w:tcMar>
              <w:top w:w="17" w:type="dxa"/>
              <w:left w:w="17" w:type="dxa"/>
              <w:bottom w:w="0" w:type="dxa"/>
              <w:right w:w="17" w:type="dxa"/>
            </w:tcMar>
            <w:vAlign w:val="center"/>
          </w:tcPr>
          <w:p w14:paraId="0FAD9F02">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center"/>
          </w:tcPr>
          <w:p w14:paraId="609BABCC">
            <w:pPr>
              <w:rPr>
                <w:rFonts w:ascii="仿宋" w:hAnsi="仿宋" w:eastAsia="仿宋" w:cs="仿宋"/>
                <w:color w:val="auto"/>
                <w:szCs w:val="21"/>
                <w:highlight w:val="none"/>
              </w:rPr>
            </w:pPr>
            <w:r>
              <w:rPr>
                <w:rFonts w:hint="eastAsia" w:ascii="仿宋" w:hAnsi="仿宋" w:eastAsia="仿宋" w:cs="仿宋"/>
                <w:color w:val="auto"/>
                <w:szCs w:val="21"/>
                <w:highlight w:val="none"/>
              </w:rPr>
              <w:t>对服务区域是否按要求达标，工作记录是否清楚。</w:t>
            </w:r>
          </w:p>
        </w:tc>
        <w:tc>
          <w:tcPr>
            <w:tcW w:w="1012" w:type="dxa"/>
            <w:vMerge w:val="continue"/>
            <w:vAlign w:val="center"/>
          </w:tcPr>
          <w:p w14:paraId="0548FF84">
            <w:pPr>
              <w:jc w:val="center"/>
              <w:rPr>
                <w:rFonts w:ascii="仿宋" w:hAnsi="仿宋" w:eastAsia="仿宋" w:cs="仿宋"/>
                <w:color w:val="auto"/>
                <w:szCs w:val="21"/>
                <w:highlight w:val="none"/>
              </w:rPr>
            </w:pPr>
          </w:p>
        </w:tc>
      </w:tr>
      <w:tr w14:paraId="5B71026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421AEB1B">
            <w:pPr>
              <w:jc w:val="center"/>
              <w:rPr>
                <w:rFonts w:ascii="仿宋" w:hAnsi="仿宋" w:eastAsia="仿宋" w:cs="仿宋"/>
                <w:color w:val="auto"/>
                <w:szCs w:val="21"/>
                <w:highlight w:val="none"/>
              </w:rPr>
            </w:pPr>
          </w:p>
        </w:tc>
        <w:tc>
          <w:tcPr>
            <w:tcW w:w="906" w:type="dxa"/>
            <w:vMerge w:val="continue"/>
            <w:tcMar>
              <w:top w:w="17" w:type="dxa"/>
              <w:left w:w="17" w:type="dxa"/>
              <w:bottom w:w="0" w:type="dxa"/>
              <w:right w:w="17" w:type="dxa"/>
            </w:tcMar>
            <w:vAlign w:val="center"/>
          </w:tcPr>
          <w:p w14:paraId="3988F8BF">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center"/>
          </w:tcPr>
          <w:p w14:paraId="2BD0CBF3">
            <w:pPr>
              <w:rPr>
                <w:rFonts w:ascii="仿宋" w:hAnsi="仿宋" w:eastAsia="仿宋" w:cs="仿宋"/>
                <w:color w:val="auto"/>
                <w:szCs w:val="21"/>
                <w:highlight w:val="none"/>
              </w:rPr>
            </w:pPr>
            <w:r>
              <w:rPr>
                <w:rFonts w:hint="eastAsia" w:ascii="仿宋" w:hAnsi="仿宋" w:eastAsia="仿宋" w:cs="仿宋"/>
                <w:color w:val="auto"/>
                <w:szCs w:val="21"/>
                <w:highlight w:val="none"/>
              </w:rPr>
              <w:t>是否按要求完成合同约定的服务内容。</w:t>
            </w:r>
          </w:p>
        </w:tc>
        <w:tc>
          <w:tcPr>
            <w:tcW w:w="1012" w:type="dxa"/>
            <w:vMerge w:val="continue"/>
            <w:vAlign w:val="center"/>
          </w:tcPr>
          <w:p w14:paraId="0502BC9F">
            <w:pPr>
              <w:jc w:val="center"/>
              <w:rPr>
                <w:rFonts w:ascii="仿宋" w:hAnsi="仿宋" w:eastAsia="仿宋" w:cs="仿宋"/>
                <w:color w:val="auto"/>
                <w:szCs w:val="21"/>
                <w:highlight w:val="none"/>
              </w:rPr>
            </w:pPr>
          </w:p>
        </w:tc>
      </w:tr>
      <w:tr w14:paraId="40C73B0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restart"/>
            <w:vAlign w:val="center"/>
          </w:tcPr>
          <w:p w14:paraId="2E431789">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养护</w:t>
            </w:r>
          </w:p>
          <w:p w14:paraId="286FE377">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标准</w:t>
            </w:r>
          </w:p>
          <w:p w14:paraId="7252D779">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55分</w:t>
            </w:r>
          </w:p>
        </w:tc>
        <w:tc>
          <w:tcPr>
            <w:tcW w:w="906" w:type="dxa"/>
            <w:vMerge w:val="restart"/>
            <w:tcMar>
              <w:top w:w="17" w:type="dxa"/>
              <w:left w:w="17" w:type="dxa"/>
              <w:bottom w:w="0" w:type="dxa"/>
              <w:right w:w="17" w:type="dxa"/>
            </w:tcMar>
            <w:vAlign w:val="center"/>
          </w:tcPr>
          <w:p w14:paraId="625DB715">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乔木</w:t>
            </w:r>
          </w:p>
        </w:tc>
        <w:tc>
          <w:tcPr>
            <w:tcW w:w="5792" w:type="dxa"/>
            <w:tcMar>
              <w:top w:w="17" w:type="dxa"/>
              <w:left w:w="17" w:type="dxa"/>
              <w:bottom w:w="0" w:type="dxa"/>
              <w:right w:w="17" w:type="dxa"/>
            </w:tcMar>
            <w:vAlign w:val="center"/>
          </w:tcPr>
          <w:p w14:paraId="61A27F33">
            <w:pPr>
              <w:rPr>
                <w:rFonts w:ascii="仿宋" w:hAnsi="仿宋" w:eastAsia="仿宋" w:cs="仿宋"/>
                <w:color w:val="auto"/>
                <w:szCs w:val="21"/>
                <w:highlight w:val="none"/>
              </w:rPr>
            </w:pPr>
            <w:r>
              <w:rPr>
                <w:rFonts w:hint="eastAsia" w:ascii="仿宋" w:hAnsi="仿宋" w:eastAsia="仿宋" w:cs="仿宋"/>
                <w:color w:val="auto"/>
                <w:szCs w:val="21"/>
                <w:highlight w:val="none"/>
              </w:rPr>
              <w:t>生长旺盛，枝叶健壮，无枯死</w:t>
            </w:r>
          </w:p>
        </w:tc>
        <w:tc>
          <w:tcPr>
            <w:tcW w:w="1012" w:type="dxa"/>
            <w:vAlign w:val="center"/>
          </w:tcPr>
          <w:p w14:paraId="70A329B5">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每出现一次/处不合格，扣</w:t>
            </w:r>
            <w:r>
              <w:rPr>
                <w:rFonts w:hint="eastAsia" w:ascii="仿宋" w:hAnsi="仿宋" w:eastAsia="仿宋" w:cs="仿宋"/>
                <w:bCs/>
                <w:color w:val="auto"/>
                <w:szCs w:val="21"/>
                <w:highlight w:val="none"/>
              </w:rPr>
              <w:t>2</w:t>
            </w:r>
            <w:r>
              <w:rPr>
                <w:rFonts w:hint="eastAsia" w:ascii="仿宋" w:hAnsi="仿宋" w:eastAsia="仿宋" w:cs="仿宋"/>
                <w:color w:val="auto"/>
                <w:szCs w:val="21"/>
                <w:highlight w:val="none"/>
              </w:rPr>
              <w:t>分</w:t>
            </w:r>
          </w:p>
        </w:tc>
      </w:tr>
      <w:tr w14:paraId="6EA5068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5A673A9E">
            <w:pPr>
              <w:jc w:val="center"/>
              <w:rPr>
                <w:rFonts w:ascii="仿宋" w:hAnsi="仿宋" w:eastAsia="仿宋" w:cs="仿宋"/>
                <w:color w:val="auto"/>
                <w:szCs w:val="21"/>
                <w:highlight w:val="none"/>
              </w:rPr>
            </w:pPr>
          </w:p>
        </w:tc>
        <w:tc>
          <w:tcPr>
            <w:tcW w:w="906" w:type="dxa"/>
            <w:vMerge w:val="continue"/>
            <w:vAlign w:val="center"/>
          </w:tcPr>
          <w:p w14:paraId="1B452EE8">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6A569409">
            <w:pPr>
              <w:rPr>
                <w:rFonts w:ascii="仿宋" w:hAnsi="仿宋" w:eastAsia="仿宋" w:cs="仿宋"/>
                <w:color w:val="auto"/>
                <w:szCs w:val="21"/>
                <w:highlight w:val="none"/>
              </w:rPr>
            </w:pPr>
            <w:r>
              <w:rPr>
                <w:rFonts w:hint="eastAsia" w:ascii="仿宋" w:hAnsi="仿宋" w:eastAsia="仿宋" w:cs="仿宋"/>
                <w:color w:val="auto"/>
                <w:szCs w:val="21"/>
                <w:highlight w:val="none"/>
              </w:rPr>
              <w:t>保持植物生长特性的树形，无明显徒长枝和过密的内膛枝、枯枝、无烂头、过密枝、无腐枝</w:t>
            </w:r>
          </w:p>
        </w:tc>
        <w:tc>
          <w:tcPr>
            <w:tcW w:w="1012" w:type="dxa"/>
            <w:vMerge w:val="restart"/>
            <w:vAlign w:val="center"/>
          </w:tcPr>
          <w:p w14:paraId="5234BF77">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每出现一次/处不合格，扣</w:t>
            </w:r>
            <w:r>
              <w:rPr>
                <w:rFonts w:hint="eastAsia" w:ascii="仿宋" w:hAnsi="仿宋" w:eastAsia="仿宋" w:cs="仿宋"/>
                <w:bCs/>
                <w:color w:val="auto"/>
                <w:szCs w:val="21"/>
                <w:highlight w:val="none"/>
              </w:rPr>
              <w:t>0.5</w:t>
            </w:r>
            <w:r>
              <w:rPr>
                <w:rFonts w:hint="eastAsia" w:ascii="仿宋" w:hAnsi="仿宋" w:eastAsia="仿宋" w:cs="仿宋"/>
                <w:color w:val="auto"/>
                <w:szCs w:val="21"/>
                <w:highlight w:val="none"/>
              </w:rPr>
              <w:t>分</w:t>
            </w:r>
          </w:p>
        </w:tc>
      </w:tr>
      <w:tr w14:paraId="1D04E18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31DB04B3">
            <w:pPr>
              <w:jc w:val="center"/>
              <w:rPr>
                <w:rFonts w:ascii="仿宋" w:hAnsi="仿宋" w:eastAsia="仿宋" w:cs="仿宋"/>
                <w:color w:val="auto"/>
                <w:szCs w:val="21"/>
                <w:highlight w:val="none"/>
              </w:rPr>
            </w:pPr>
          </w:p>
        </w:tc>
        <w:tc>
          <w:tcPr>
            <w:tcW w:w="906" w:type="dxa"/>
            <w:vMerge w:val="continue"/>
            <w:vAlign w:val="center"/>
          </w:tcPr>
          <w:p w14:paraId="011DDDD4">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515461D4">
            <w:pPr>
              <w:rPr>
                <w:rFonts w:ascii="仿宋" w:hAnsi="仿宋" w:eastAsia="仿宋" w:cs="仿宋"/>
                <w:color w:val="auto"/>
                <w:szCs w:val="21"/>
                <w:highlight w:val="none"/>
              </w:rPr>
            </w:pPr>
            <w:r>
              <w:rPr>
                <w:rFonts w:hint="eastAsia" w:ascii="仿宋" w:hAnsi="仿宋" w:eastAsia="仿宋" w:cs="仿宋"/>
                <w:color w:val="auto"/>
                <w:szCs w:val="21"/>
                <w:highlight w:val="none"/>
              </w:rPr>
              <w:t>树膛通风良好、主侧枝分布均匀（树冠生长受阻情况除外）</w:t>
            </w:r>
          </w:p>
        </w:tc>
        <w:tc>
          <w:tcPr>
            <w:tcW w:w="1012" w:type="dxa"/>
            <w:vMerge w:val="continue"/>
            <w:vAlign w:val="center"/>
          </w:tcPr>
          <w:p w14:paraId="415FBD49">
            <w:pPr>
              <w:jc w:val="center"/>
              <w:rPr>
                <w:rFonts w:ascii="仿宋" w:hAnsi="仿宋" w:eastAsia="仿宋" w:cs="仿宋"/>
                <w:color w:val="auto"/>
                <w:szCs w:val="21"/>
                <w:highlight w:val="none"/>
              </w:rPr>
            </w:pPr>
          </w:p>
        </w:tc>
      </w:tr>
      <w:tr w14:paraId="430872F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457A7947">
            <w:pPr>
              <w:jc w:val="center"/>
              <w:rPr>
                <w:rFonts w:ascii="仿宋" w:hAnsi="仿宋" w:eastAsia="仿宋" w:cs="仿宋"/>
                <w:color w:val="auto"/>
                <w:szCs w:val="21"/>
                <w:highlight w:val="none"/>
              </w:rPr>
            </w:pPr>
          </w:p>
        </w:tc>
        <w:tc>
          <w:tcPr>
            <w:tcW w:w="906" w:type="dxa"/>
            <w:vMerge w:val="continue"/>
            <w:vAlign w:val="center"/>
          </w:tcPr>
          <w:p w14:paraId="69F951F0">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35314655">
            <w:pPr>
              <w:rPr>
                <w:rFonts w:ascii="仿宋" w:hAnsi="仿宋" w:eastAsia="仿宋" w:cs="仿宋"/>
                <w:color w:val="auto"/>
                <w:szCs w:val="21"/>
                <w:highlight w:val="none"/>
              </w:rPr>
            </w:pPr>
            <w:r>
              <w:rPr>
                <w:rFonts w:hint="eastAsia" w:ascii="仿宋" w:hAnsi="仿宋" w:eastAsia="仿宋" w:cs="仿宋"/>
                <w:color w:val="auto"/>
                <w:szCs w:val="21"/>
                <w:highlight w:val="none"/>
              </w:rPr>
              <w:t>无明显病虫枝，病虫危害率不超过8%，单株受害率不超过8%</w:t>
            </w:r>
          </w:p>
        </w:tc>
        <w:tc>
          <w:tcPr>
            <w:tcW w:w="1012" w:type="dxa"/>
            <w:vMerge w:val="continue"/>
            <w:vAlign w:val="center"/>
          </w:tcPr>
          <w:p w14:paraId="6ED59425">
            <w:pPr>
              <w:jc w:val="center"/>
              <w:rPr>
                <w:rFonts w:ascii="仿宋" w:hAnsi="仿宋" w:eastAsia="仿宋" w:cs="仿宋"/>
                <w:color w:val="auto"/>
                <w:szCs w:val="21"/>
                <w:highlight w:val="none"/>
              </w:rPr>
            </w:pPr>
          </w:p>
        </w:tc>
      </w:tr>
      <w:tr w14:paraId="0A81176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1EE35DC8">
            <w:pPr>
              <w:jc w:val="center"/>
              <w:rPr>
                <w:rFonts w:ascii="仿宋" w:hAnsi="仿宋" w:eastAsia="仿宋" w:cs="仿宋"/>
                <w:color w:val="auto"/>
                <w:szCs w:val="21"/>
                <w:highlight w:val="none"/>
              </w:rPr>
            </w:pPr>
          </w:p>
        </w:tc>
        <w:tc>
          <w:tcPr>
            <w:tcW w:w="906" w:type="dxa"/>
            <w:vMerge w:val="continue"/>
            <w:vAlign w:val="center"/>
          </w:tcPr>
          <w:p w14:paraId="08CC1686">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14C5DDD0">
            <w:pPr>
              <w:rPr>
                <w:rFonts w:ascii="仿宋" w:hAnsi="仿宋" w:eastAsia="仿宋" w:cs="仿宋"/>
                <w:color w:val="auto"/>
                <w:szCs w:val="21"/>
                <w:highlight w:val="none"/>
              </w:rPr>
            </w:pPr>
            <w:r>
              <w:rPr>
                <w:rFonts w:hint="eastAsia" w:ascii="仿宋" w:hAnsi="仿宋" w:eastAsia="仿宋" w:cs="仿宋"/>
                <w:color w:val="auto"/>
                <w:szCs w:val="21"/>
                <w:highlight w:val="none"/>
              </w:rPr>
              <w:t>无违背生长特性以外的枯枝、黄叶片</w:t>
            </w:r>
          </w:p>
        </w:tc>
        <w:tc>
          <w:tcPr>
            <w:tcW w:w="1012" w:type="dxa"/>
            <w:vMerge w:val="continue"/>
            <w:vAlign w:val="center"/>
          </w:tcPr>
          <w:p w14:paraId="6C52C65B">
            <w:pPr>
              <w:jc w:val="center"/>
              <w:rPr>
                <w:rFonts w:ascii="仿宋" w:hAnsi="仿宋" w:eastAsia="仿宋" w:cs="仿宋"/>
                <w:color w:val="auto"/>
                <w:szCs w:val="21"/>
                <w:highlight w:val="none"/>
              </w:rPr>
            </w:pPr>
          </w:p>
        </w:tc>
      </w:tr>
      <w:tr w14:paraId="119C958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39E86CAC">
            <w:pPr>
              <w:jc w:val="center"/>
              <w:rPr>
                <w:rFonts w:ascii="仿宋" w:hAnsi="仿宋" w:eastAsia="仿宋" w:cs="仿宋"/>
                <w:color w:val="auto"/>
                <w:szCs w:val="21"/>
                <w:highlight w:val="none"/>
              </w:rPr>
            </w:pPr>
          </w:p>
        </w:tc>
        <w:tc>
          <w:tcPr>
            <w:tcW w:w="906" w:type="dxa"/>
            <w:vMerge w:val="continue"/>
            <w:vAlign w:val="center"/>
          </w:tcPr>
          <w:p w14:paraId="3FE0CA40">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28A08A4D">
            <w:pPr>
              <w:rPr>
                <w:rFonts w:ascii="仿宋" w:hAnsi="仿宋" w:eastAsia="仿宋" w:cs="仿宋"/>
                <w:color w:val="auto"/>
                <w:szCs w:val="21"/>
                <w:highlight w:val="none"/>
              </w:rPr>
            </w:pPr>
            <w:r>
              <w:rPr>
                <w:rFonts w:hint="eastAsia" w:ascii="仿宋" w:hAnsi="仿宋" w:eastAsia="仿宋" w:cs="仿宋"/>
                <w:color w:val="auto"/>
                <w:szCs w:val="21"/>
                <w:highlight w:val="none"/>
              </w:rPr>
              <w:t>当年生枝条开花的乔木越冬适度重剪，保留部分主侧枝</w:t>
            </w:r>
          </w:p>
        </w:tc>
        <w:tc>
          <w:tcPr>
            <w:tcW w:w="1012" w:type="dxa"/>
            <w:vMerge w:val="continue"/>
            <w:vAlign w:val="center"/>
          </w:tcPr>
          <w:p w14:paraId="58FF14AD">
            <w:pPr>
              <w:jc w:val="center"/>
              <w:rPr>
                <w:rFonts w:ascii="仿宋" w:hAnsi="仿宋" w:eastAsia="仿宋" w:cs="仿宋"/>
                <w:color w:val="auto"/>
                <w:szCs w:val="21"/>
                <w:highlight w:val="none"/>
              </w:rPr>
            </w:pPr>
          </w:p>
        </w:tc>
      </w:tr>
      <w:tr w14:paraId="7758CC0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15" w:hRule="atLeast"/>
          <w:jc w:val="center"/>
        </w:trPr>
        <w:tc>
          <w:tcPr>
            <w:tcW w:w="606" w:type="dxa"/>
            <w:vMerge w:val="continue"/>
            <w:vAlign w:val="center"/>
          </w:tcPr>
          <w:p w14:paraId="55FE4E7C">
            <w:pPr>
              <w:jc w:val="center"/>
              <w:rPr>
                <w:rFonts w:ascii="仿宋" w:hAnsi="仿宋" w:eastAsia="仿宋" w:cs="仿宋"/>
                <w:color w:val="auto"/>
                <w:szCs w:val="21"/>
                <w:highlight w:val="none"/>
              </w:rPr>
            </w:pPr>
          </w:p>
        </w:tc>
        <w:tc>
          <w:tcPr>
            <w:tcW w:w="906" w:type="dxa"/>
            <w:vMerge w:val="continue"/>
            <w:vAlign w:val="center"/>
          </w:tcPr>
          <w:p w14:paraId="727A71E0">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00398707">
            <w:pPr>
              <w:rPr>
                <w:rFonts w:ascii="仿宋" w:hAnsi="仿宋" w:eastAsia="仿宋" w:cs="仿宋"/>
                <w:color w:val="auto"/>
                <w:szCs w:val="21"/>
                <w:highlight w:val="none"/>
              </w:rPr>
            </w:pPr>
            <w:r>
              <w:rPr>
                <w:rFonts w:hint="eastAsia" w:ascii="仿宋" w:hAnsi="仿宋" w:eastAsia="仿宋" w:cs="仿宋"/>
                <w:color w:val="auto"/>
                <w:szCs w:val="21"/>
                <w:highlight w:val="none"/>
              </w:rPr>
              <w:t>作好防台风措施，全力配合服务中心进行防台风工作，受外力影响歪倒乔木在外力结束1-2天内扶正</w:t>
            </w:r>
          </w:p>
        </w:tc>
        <w:tc>
          <w:tcPr>
            <w:tcW w:w="1012" w:type="dxa"/>
            <w:vMerge w:val="continue"/>
            <w:vAlign w:val="center"/>
          </w:tcPr>
          <w:p w14:paraId="22226965">
            <w:pPr>
              <w:jc w:val="center"/>
              <w:rPr>
                <w:rFonts w:ascii="仿宋" w:hAnsi="仿宋" w:eastAsia="仿宋" w:cs="仿宋"/>
                <w:color w:val="auto"/>
                <w:szCs w:val="21"/>
                <w:highlight w:val="none"/>
              </w:rPr>
            </w:pPr>
          </w:p>
        </w:tc>
      </w:tr>
      <w:tr w14:paraId="02FF7B3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15" w:hRule="atLeast"/>
          <w:jc w:val="center"/>
        </w:trPr>
        <w:tc>
          <w:tcPr>
            <w:tcW w:w="606" w:type="dxa"/>
            <w:vMerge w:val="continue"/>
            <w:vAlign w:val="center"/>
          </w:tcPr>
          <w:p w14:paraId="028E9592">
            <w:pPr>
              <w:jc w:val="center"/>
              <w:rPr>
                <w:rFonts w:ascii="仿宋" w:hAnsi="仿宋" w:eastAsia="仿宋" w:cs="仿宋"/>
                <w:color w:val="auto"/>
                <w:szCs w:val="21"/>
                <w:highlight w:val="none"/>
              </w:rPr>
            </w:pPr>
          </w:p>
        </w:tc>
        <w:tc>
          <w:tcPr>
            <w:tcW w:w="906" w:type="dxa"/>
            <w:vMerge w:val="continue"/>
            <w:vAlign w:val="center"/>
          </w:tcPr>
          <w:p w14:paraId="304F7719">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6C194232">
            <w:pPr>
              <w:rPr>
                <w:rFonts w:ascii="仿宋" w:hAnsi="仿宋" w:eastAsia="仿宋" w:cs="仿宋"/>
                <w:color w:val="auto"/>
                <w:szCs w:val="21"/>
                <w:highlight w:val="none"/>
              </w:rPr>
            </w:pPr>
            <w:r>
              <w:rPr>
                <w:rFonts w:hint="eastAsia" w:ascii="仿宋" w:hAnsi="仿宋" w:eastAsia="仿宋" w:cs="仿宋"/>
                <w:color w:val="auto"/>
                <w:szCs w:val="21"/>
                <w:highlight w:val="none"/>
              </w:rPr>
              <w:t>枝干无机械损伤、乱拉乱挂现象；无违背生长的卷叶、黄叶、异常落叶等现象</w:t>
            </w:r>
          </w:p>
        </w:tc>
        <w:tc>
          <w:tcPr>
            <w:tcW w:w="1012" w:type="dxa"/>
            <w:vMerge w:val="continue"/>
            <w:vAlign w:val="center"/>
          </w:tcPr>
          <w:p w14:paraId="587FF7CE">
            <w:pPr>
              <w:jc w:val="center"/>
              <w:rPr>
                <w:rFonts w:ascii="仿宋" w:hAnsi="仿宋" w:eastAsia="仿宋" w:cs="仿宋"/>
                <w:bCs/>
                <w:color w:val="auto"/>
                <w:szCs w:val="21"/>
                <w:highlight w:val="none"/>
              </w:rPr>
            </w:pPr>
          </w:p>
        </w:tc>
      </w:tr>
      <w:tr w14:paraId="626B999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15" w:hRule="atLeast"/>
          <w:jc w:val="center"/>
        </w:trPr>
        <w:tc>
          <w:tcPr>
            <w:tcW w:w="606" w:type="dxa"/>
            <w:vMerge w:val="continue"/>
            <w:vAlign w:val="center"/>
          </w:tcPr>
          <w:p w14:paraId="6F02A306">
            <w:pPr>
              <w:jc w:val="center"/>
              <w:rPr>
                <w:rFonts w:ascii="仿宋" w:hAnsi="仿宋" w:eastAsia="仿宋" w:cs="仿宋"/>
                <w:color w:val="auto"/>
                <w:szCs w:val="21"/>
                <w:highlight w:val="none"/>
              </w:rPr>
            </w:pPr>
          </w:p>
        </w:tc>
        <w:tc>
          <w:tcPr>
            <w:tcW w:w="906" w:type="dxa"/>
            <w:vMerge w:val="continue"/>
            <w:vAlign w:val="center"/>
          </w:tcPr>
          <w:p w14:paraId="0088B7B6">
            <w:pPr>
              <w:jc w:val="center"/>
              <w:rPr>
                <w:rFonts w:ascii="仿宋" w:hAnsi="仿宋" w:eastAsia="仿宋" w:cs="仿宋"/>
                <w:color w:val="auto"/>
                <w:szCs w:val="21"/>
                <w:highlight w:val="none"/>
              </w:rPr>
            </w:pPr>
          </w:p>
        </w:tc>
        <w:tc>
          <w:tcPr>
            <w:tcW w:w="5792" w:type="dxa"/>
            <w:tcMar>
              <w:top w:w="17" w:type="dxa"/>
              <w:left w:w="17" w:type="dxa"/>
              <w:bottom w:w="0" w:type="dxa"/>
              <w:right w:w="17" w:type="dxa"/>
            </w:tcMar>
          </w:tcPr>
          <w:p w14:paraId="3AFF9881">
            <w:pPr>
              <w:rPr>
                <w:rFonts w:ascii="仿宋" w:hAnsi="仿宋" w:eastAsia="仿宋" w:cs="仿宋"/>
                <w:color w:val="auto"/>
                <w:szCs w:val="21"/>
                <w:highlight w:val="none"/>
              </w:rPr>
            </w:pPr>
            <w:r>
              <w:rPr>
                <w:rFonts w:hint="eastAsia" w:ascii="仿宋" w:hAnsi="仿宋" w:eastAsia="仿宋" w:cs="仿宋"/>
                <w:color w:val="auto"/>
                <w:szCs w:val="21"/>
                <w:highlight w:val="none"/>
              </w:rPr>
              <w:t>正常生长受到严重影响的乔木，可采取修剪等补救措施，但树干需见青皮，并有提示性标识</w:t>
            </w:r>
          </w:p>
        </w:tc>
        <w:tc>
          <w:tcPr>
            <w:tcW w:w="1012" w:type="dxa"/>
            <w:vMerge w:val="continue"/>
            <w:vAlign w:val="center"/>
          </w:tcPr>
          <w:p w14:paraId="24F8F767">
            <w:pPr>
              <w:jc w:val="center"/>
              <w:rPr>
                <w:rFonts w:ascii="仿宋" w:hAnsi="仿宋" w:eastAsia="仿宋" w:cs="仿宋"/>
                <w:bCs/>
                <w:color w:val="auto"/>
                <w:szCs w:val="21"/>
                <w:highlight w:val="none"/>
              </w:rPr>
            </w:pPr>
          </w:p>
        </w:tc>
      </w:tr>
      <w:tr w14:paraId="1488E02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15" w:hRule="atLeast"/>
          <w:jc w:val="center"/>
        </w:trPr>
        <w:tc>
          <w:tcPr>
            <w:tcW w:w="606" w:type="dxa"/>
            <w:vMerge w:val="continue"/>
            <w:vAlign w:val="center"/>
          </w:tcPr>
          <w:p w14:paraId="6BCE29CF">
            <w:pPr>
              <w:jc w:val="center"/>
              <w:rPr>
                <w:rFonts w:ascii="仿宋" w:hAnsi="仿宋" w:eastAsia="仿宋" w:cs="仿宋"/>
                <w:color w:val="auto"/>
                <w:szCs w:val="21"/>
                <w:highlight w:val="none"/>
              </w:rPr>
            </w:pPr>
          </w:p>
        </w:tc>
        <w:tc>
          <w:tcPr>
            <w:tcW w:w="906" w:type="dxa"/>
            <w:vMerge w:val="continue"/>
            <w:vAlign w:val="center"/>
          </w:tcPr>
          <w:p w14:paraId="0360A662">
            <w:pPr>
              <w:jc w:val="center"/>
              <w:rPr>
                <w:rFonts w:ascii="仿宋" w:hAnsi="仿宋" w:eastAsia="仿宋" w:cs="仿宋"/>
                <w:color w:val="auto"/>
                <w:szCs w:val="21"/>
                <w:highlight w:val="none"/>
              </w:rPr>
            </w:pPr>
          </w:p>
        </w:tc>
        <w:tc>
          <w:tcPr>
            <w:tcW w:w="5792" w:type="dxa"/>
            <w:tcMar>
              <w:top w:w="17" w:type="dxa"/>
              <w:left w:w="17" w:type="dxa"/>
              <w:bottom w:w="0" w:type="dxa"/>
              <w:right w:w="17" w:type="dxa"/>
            </w:tcMar>
          </w:tcPr>
          <w:p w14:paraId="3E1A839F">
            <w:pPr>
              <w:rPr>
                <w:rFonts w:ascii="仿宋" w:hAnsi="仿宋" w:eastAsia="仿宋" w:cs="仿宋"/>
                <w:color w:val="auto"/>
                <w:szCs w:val="21"/>
                <w:highlight w:val="none"/>
              </w:rPr>
            </w:pPr>
            <w:r>
              <w:rPr>
                <w:rFonts w:hint="eastAsia" w:ascii="仿宋" w:hAnsi="仿宋" w:eastAsia="仿宋" w:cs="仿宋"/>
                <w:color w:val="auto"/>
                <w:szCs w:val="21"/>
                <w:highlight w:val="none"/>
              </w:rPr>
              <w:t>新植树木，尤其是古树，采取遮荫等养护措施</w:t>
            </w:r>
          </w:p>
        </w:tc>
        <w:tc>
          <w:tcPr>
            <w:tcW w:w="1012" w:type="dxa"/>
            <w:vMerge w:val="continue"/>
            <w:vAlign w:val="center"/>
          </w:tcPr>
          <w:p w14:paraId="04CFFF63">
            <w:pPr>
              <w:jc w:val="center"/>
              <w:rPr>
                <w:rFonts w:ascii="仿宋" w:hAnsi="仿宋" w:eastAsia="仿宋" w:cs="仿宋"/>
                <w:bCs/>
                <w:color w:val="auto"/>
                <w:szCs w:val="21"/>
                <w:highlight w:val="none"/>
              </w:rPr>
            </w:pPr>
          </w:p>
        </w:tc>
      </w:tr>
      <w:tr w14:paraId="356F7AA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15" w:hRule="atLeast"/>
          <w:jc w:val="center"/>
        </w:trPr>
        <w:tc>
          <w:tcPr>
            <w:tcW w:w="606" w:type="dxa"/>
            <w:vMerge w:val="continue"/>
            <w:vAlign w:val="center"/>
          </w:tcPr>
          <w:p w14:paraId="687CBD7A">
            <w:pPr>
              <w:jc w:val="center"/>
              <w:rPr>
                <w:rFonts w:ascii="仿宋" w:hAnsi="仿宋" w:eastAsia="仿宋" w:cs="仿宋"/>
                <w:color w:val="auto"/>
                <w:szCs w:val="21"/>
                <w:highlight w:val="none"/>
              </w:rPr>
            </w:pPr>
          </w:p>
        </w:tc>
        <w:tc>
          <w:tcPr>
            <w:tcW w:w="906" w:type="dxa"/>
            <w:vMerge w:val="continue"/>
            <w:vAlign w:val="center"/>
          </w:tcPr>
          <w:p w14:paraId="4023365B">
            <w:pPr>
              <w:jc w:val="center"/>
              <w:rPr>
                <w:rFonts w:ascii="仿宋" w:hAnsi="仿宋" w:eastAsia="仿宋" w:cs="仿宋"/>
                <w:color w:val="auto"/>
                <w:szCs w:val="21"/>
                <w:highlight w:val="none"/>
              </w:rPr>
            </w:pPr>
          </w:p>
        </w:tc>
        <w:tc>
          <w:tcPr>
            <w:tcW w:w="5792" w:type="dxa"/>
            <w:tcMar>
              <w:top w:w="17" w:type="dxa"/>
              <w:left w:w="17" w:type="dxa"/>
              <w:bottom w:w="0" w:type="dxa"/>
              <w:right w:w="17" w:type="dxa"/>
            </w:tcMar>
          </w:tcPr>
          <w:p w14:paraId="53C6F63D">
            <w:pPr>
              <w:rPr>
                <w:rFonts w:ascii="仿宋" w:hAnsi="仿宋" w:eastAsia="仿宋" w:cs="仿宋"/>
                <w:color w:val="auto"/>
                <w:szCs w:val="21"/>
                <w:highlight w:val="none"/>
              </w:rPr>
            </w:pPr>
            <w:r>
              <w:rPr>
                <w:rFonts w:hint="eastAsia" w:ascii="仿宋" w:hAnsi="仿宋" w:eastAsia="仿宋" w:cs="仿宋"/>
                <w:color w:val="auto"/>
                <w:szCs w:val="21"/>
                <w:highlight w:val="none"/>
              </w:rPr>
              <w:t>乔木基部土壤疏松、平整、无青苔、无板结，不露肥、无缺肥情况</w:t>
            </w:r>
          </w:p>
        </w:tc>
        <w:tc>
          <w:tcPr>
            <w:tcW w:w="1012" w:type="dxa"/>
            <w:vMerge w:val="continue"/>
            <w:vAlign w:val="center"/>
          </w:tcPr>
          <w:p w14:paraId="223B4A93">
            <w:pPr>
              <w:jc w:val="center"/>
              <w:rPr>
                <w:rFonts w:ascii="仿宋" w:hAnsi="仿宋" w:eastAsia="仿宋" w:cs="仿宋"/>
                <w:bCs/>
                <w:color w:val="auto"/>
                <w:szCs w:val="21"/>
                <w:highlight w:val="none"/>
              </w:rPr>
            </w:pPr>
          </w:p>
        </w:tc>
      </w:tr>
      <w:tr w14:paraId="7D17B52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15" w:hRule="atLeast"/>
          <w:jc w:val="center"/>
        </w:trPr>
        <w:tc>
          <w:tcPr>
            <w:tcW w:w="606" w:type="dxa"/>
            <w:vMerge w:val="continue"/>
            <w:vAlign w:val="center"/>
          </w:tcPr>
          <w:p w14:paraId="09904CFB">
            <w:pPr>
              <w:jc w:val="center"/>
              <w:rPr>
                <w:rFonts w:ascii="仿宋" w:hAnsi="仿宋" w:eastAsia="仿宋" w:cs="仿宋"/>
                <w:color w:val="auto"/>
                <w:szCs w:val="21"/>
                <w:highlight w:val="none"/>
              </w:rPr>
            </w:pPr>
          </w:p>
        </w:tc>
        <w:tc>
          <w:tcPr>
            <w:tcW w:w="906" w:type="dxa"/>
            <w:vMerge w:val="continue"/>
            <w:vAlign w:val="center"/>
          </w:tcPr>
          <w:p w14:paraId="18BB7617">
            <w:pPr>
              <w:jc w:val="center"/>
              <w:rPr>
                <w:rFonts w:ascii="仿宋" w:hAnsi="仿宋" w:eastAsia="仿宋" w:cs="仿宋"/>
                <w:color w:val="auto"/>
                <w:szCs w:val="21"/>
                <w:highlight w:val="none"/>
              </w:rPr>
            </w:pPr>
          </w:p>
        </w:tc>
        <w:tc>
          <w:tcPr>
            <w:tcW w:w="5792" w:type="dxa"/>
            <w:tcMar>
              <w:top w:w="17" w:type="dxa"/>
              <w:left w:w="17" w:type="dxa"/>
              <w:bottom w:w="0" w:type="dxa"/>
              <w:right w:w="17" w:type="dxa"/>
            </w:tcMar>
          </w:tcPr>
          <w:p w14:paraId="4A72BE73">
            <w:pPr>
              <w:rPr>
                <w:rFonts w:ascii="仿宋" w:hAnsi="仿宋" w:eastAsia="仿宋" w:cs="仿宋"/>
                <w:color w:val="auto"/>
                <w:szCs w:val="21"/>
                <w:highlight w:val="none"/>
              </w:rPr>
            </w:pPr>
            <w:r>
              <w:rPr>
                <w:rFonts w:hint="eastAsia" w:ascii="仿宋" w:hAnsi="仿宋" w:eastAsia="仿宋" w:cs="仿宋"/>
                <w:color w:val="auto"/>
                <w:szCs w:val="21"/>
                <w:highlight w:val="none"/>
              </w:rPr>
              <w:t>保持乔木正常生长需要，无缺水情况</w:t>
            </w:r>
          </w:p>
        </w:tc>
        <w:tc>
          <w:tcPr>
            <w:tcW w:w="1012" w:type="dxa"/>
            <w:vMerge w:val="continue"/>
            <w:vAlign w:val="center"/>
          </w:tcPr>
          <w:p w14:paraId="4B251BD9">
            <w:pPr>
              <w:jc w:val="center"/>
              <w:rPr>
                <w:rFonts w:ascii="仿宋" w:hAnsi="仿宋" w:eastAsia="仿宋" w:cs="仿宋"/>
                <w:bCs/>
                <w:color w:val="auto"/>
                <w:szCs w:val="21"/>
                <w:highlight w:val="none"/>
              </w:rPr>
            </w:pPr>
          </w:p>
        </w:tc>
      </w:tr>
      <w:tr w14:paraId="22263CD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15" w:hRule="atLeast"/>
          <w:jc w:val="center"/>
        </w:trPr>
        <w:tc>
          <w:tcPr>
            <w:tcW w:w="606" w:type="dxa"/>
            <w:vMerge w:val="continue"/>
            <w:vAlign w:val="center"/>
          </w:tcPr>
          <w:p w14:paraId="1771075A">
            <w:pPr>
              <w:jc w:val="center"/>
              <w:rPr>
                <w:rFonts w:ascii="仿宋" w:hAnsi="仿宋" w:eastAsia="仿宋" w:cs="仿宋"/>
                <w:color w:val="auto"/>
                <w:szCs w:val="21"/>
                <w:highlight w:val="none"/>
              </w:rPr>
            </w:pPr>
          </w:p>
        </w:tc>
        <w:tc>
          <w:tcPr>
            <w:tcW w:w="906" w:type="dxa"/>
            <w:vMerge w:val="continue"/>
            <w:vAlign w:val="center"/>
          </w:tcPr>
          <w:p w14:paraId="687119F7">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75D31889">
            <w:pPr>
              <w:rPr>
                <w:rFonts w:ascii="仿宋" w:hAnsi="仿宋" w:eastAsia="仿宋" w:cs="仿宋"/>
                <w:color w:val="auto"/>
                <w:szCs w:val="21"/>
                <w:highlight w:val="none"/>
              </w:rPr>
            </w:pPr>
            <w:r>
              <w:rPr>
                <w:rFonts w:hint="eastAsia" w:ascii="仿宋" w:hAnsi="仿宋" w:eastAsia="仿宋" w:cs="仿宋"/>
                <w:color w:val="auto"/>
                <w:szCs w:val="21"/>
                <w:highlight w:val="none"/>
              </w:rPr>
              <w:t>发现乔木主干有树洞或损伤须及时修补</w:t>
            </w:r>
          </w:p>
        </w:tc>
        <w:tc>
          <w:tcPr>
            <w:tcW w:w="1012" w:type="dxa"/>
            <w:vMerge w:val="continue"/>
            <w:vAlign w:val="center"/>
          </w:tcPr>
          <w:p w14:paraId="293F65F3">
            <w:pPr>
              <w:jc w:val="center"/>
              <w:rPr>
                <w:rFonts w:ascii="仿宋" w:hAnsi="仿宋" w:eastAsia="仿宋" w:cs="仿宋"/>
                <w:color w:val="auto"/>
                <w:szCs w:val="21"/>
                <w:highlight w:val="none"/>
              </w:rPr>
            </w:pPr>
          </w:p>
        </w:tc>
      </w:tr>
      <w:tr w14:paraId="70746F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70" w:hRule="atLeast"/>
          <w:jc w:val="center"/>
        </w:trPr>
        <w:tc>
          <w:tcPr>
            <w:tcW w:w="606" w:type="dxa"/>
            <w:vMerge w:val="continue"/>
            <w:vAlign w:val="center"/>
          </w:tcPr>
          <w:p w14:paraId="246F51EE">
            <w:pPr>
              <w:jc w:val="center"/>
              <w:rPr>
                <w:rFonts w:ascii="仿宋" w:hAnsi="仿宋" w:eastAsia="仿宋" w:cs="仿宋"/>
                <w:color w:val="auto"/>
                <w:szCs w:val="21"/>
                <w:highlight w:val="none"/>
              </w:rPr>
            </w:pPr>
          </w:p>
        </w:tc>
        <w:tc>
          <w:tcPr>
            <w:tcW w:w="906" w:type="dxa"/>
            <w:vMerge w:val="continue"/>
            <w:tcMar>
              <w:top w:w="17" w:type="dxa"/>
              <w:left w:w="17" w:type="dxa"/>
              <w:bottom w:w="0" w:type="dxa"/>
              <w:right w:w="17" w:type="dxa"/>
            </w:tcMar>
            <w:vAlign w:val="center"/>
          </w:tcPr>
          <w:p w14:paraId="24B20FDD">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6BC54DEA">
            <w:pPr>
              <w:rPr>
                <w:rFonts w:ascii="仿宋" w:hAnsi="仿宋" w:eastAsia="仿宋" w:cs="仿宋"/>
                <w:color w:val="auto"/>
                <w:szCs w:val="21"/>
                <w:highlight w:val="none"/>
              </w:rPr>
            </w:pPr>
            <w:r>
              <w:rPr>
                <w:rFonts w:hint="eastAsia" w:ascii="仿宋" w:hAnsi="仿宋" w:eastAsia="仿宋" w:cs="仿宋"/>
                <w:color w:val="auto"/>
                <w:szCs w:val="21"/>
                <w:highlight w:val="none"/>
              </w:rPr>
              <w:t>对积水的乔木及时进行清淤排涝</w:t>
            </w:r>
          </w:p>
        </w:tc>
        <w:tc>
          <w:tcPr>
            <w:tcW w:w="1012" w:type="dxa"/>
            <w:vMerge w:val="continue"/>
            <w:vAlign w:val="center"/>
          </w:tcPr>
          <w:p w14:paraId="29B53CCC">
            <w:pPr>
              <w:jc w:val="center"/>
              <w:rPr>
                <w:rFonts w:ascii="仿宋" w:hAnsi="仿宋" w:eastAsia="仿宋" w:cs="仿宋"/>
                <w:color w:val="auto"/>
                <w:szCs w:val="21"/>
                <w:highlight w:val="none"/>
              </w:rPr>
            </w:pPr>
          </w:p>
        </w:tc>
      </w:tr>
      <w:tr w14:paraId="0ECAAE2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70" w:hRule="atLeast"/>
          <w:jc w:val="center"/>
        </w:trPr>
        <w:tc>
          <w:tcPr>
            <w:tcW w:w="606" w:type="dxa"/>
            <w:vMerge w:val="continue"/>
            <w:vAlign w:val="center"/>
          </w:tcPr>
          <w:p w14:paraId="63A52FCB">
            <w:pPr>
              <w:jc w:val="center"/>
              <w:rPr>
                <w:rFonts w:ascii="仿宋" w:hAnsi="仿宋" w:eastAsia="仿宋" w:cs="仿宋"/>
                <w:color w:val="auto"/>
                <w:szCs w:val="21"/>
                <w:highlight w:val="none"/>
              </w:rPr>
            </w:pPr>
          </w:p>
        </w:tc>
        <w:tc>
          <w:tcPr>
            <w:tcW w:w="906" w:type="dxa"/>
            <w:vMerge w:val="restart"/>
            <w:tcMar>
              <w:top w:w="17" w:type="dxa"/>
              <w:left w:w="17" w:type="dxa"/>
              <w:bottom w:w="0" w:type="dxa"/>
              <w:right w:w="17" w:type="dxa"/>
            </w:tcMar>
            <w:vAlign w:val="center"/>
          </w:tcPr>
          <w:p w14:paraId="050073F2">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造型植物及灌木</w:t>
            </w:r>
          </w:p>
        </w:tc>
        <w:tc>
          <w:tcPr>
            <w:tcW w:w="5792" w:type="dxa"/>
            <w:tcMar>
              <w:top w:w="17" w:type="dxa"/>
              <w:left w:w="17" w:type="dxa"/>
              <w:bottom w:w="0" w:type="dxa"/>
              <w:right w:w="17" w:type="dxa"/>
            </w:tcMar>
            <w:vAlign w:val="center"/>
          </w:tcPr>
          <w:p w14:paraId="176E56EC">
            <w:pPr>
              <w:rPr>
                <w:rFonts w:ascii="仿宋" w:hAnsi="仿宋" w:eastAsia="仿宋" w:cs="仿宋"/>
                <w:color w:val="auto"/>
                <w:szCs w:val="21"/>
                <w:highlight w:val="none"/>
              </w:rPr>
            </w:pPr>
            <w:r>
              <w:rPr>
                <w:rFonts w:hint="eastAsia" w:ascii="仿宋" w:hAnsi="仿宋" w:eastAsia="仿宋" w:cs="仿宋"/>
                <w:color w:val="auto"/>
                <w:szCs w:val="21"/>
                <w:highlight w:val="none"/>
              </w:rPr>
              <w:t>每1000平方米范围内枯灌木累计不超过2平方米，单块枯死面积不超过0.5平方米</w:t>
            </w:r>
          </w:p>
        </w:tc>
        <w:tc>
          <w:tcPr>
            <w:tcW w:w="1012" w:type="dxa"/>
            <w:vAlign w:val="center"/>
          </w:tcPr>
          <w:p w14:paraId="6383A120">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每出现一次/处不合格，扣</w:t>
            </w:r>
            <w:r>
              <w:rPr>
                <w:rFonts w:hint="eastAsia" w:ascii="仿宋" w:hAnsi="仿宋" w:eastAsia="仿宋" w:cs="仿宋"/>
                <w:bCs/>
                <w:color w:val="auto"/>
                <w:szCs w:val="21"/>
                <w:highlight w:val="none"/>
              </w:rPr>
              <w:t>2</w:t>
            </w:r>
            <w:r>
              <w:rPr>
                <w:rFonts w:hint="eastAsia" w:ascii="仿宋" w:hAnsi="仿宋" w:eastAsia="仿宋" w:cs="仿宋"/>
                <w:color w:val="auto"/>
                <w:szCs w:val="21"/>
                <w:highlight w:val="none"/>
              </w:rPr>
              <w:t>分</w:t>
            </w:r>
          </w:p>
        </w:tc>
      </w:tr>
      <w:tr w14:paraId="64F9AD3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70" w:hRule="atLeast"/>
          <w:jc w:val="center"/>
        </w:trPr>
        <w:tc>
          <w:tcPr>
            <w:tcW w:w="606" w:type="dxa"/>
            <w:vMerge w:val="continue"/>
            <w:vAlign w:val="center"/>
          </w:tcPr>
          <w:p w14:paraId="0A219F3C">
            <w:pPr>
              <w:jc w:val="center"/>
              <w:rPr>
                <w:rFonts w:ascii="仿宋" w:hAnsi="仿宋" w:eastAsia="仿宋" w:cs="仿宋"/>
                <w:color w:val="auto"/>
                <w:szCs w:val="21"/>
                <w:highlight w:val="none"/>
              </w:rPr>
            </w:pPr>
          </w:p>
        </w:tc>
        <w:tc>
          <w:tcPr>
            <w:tcW w:w="906" w:type="dxa"/>
            <w:vMerge w:val="continue"/>
            <w:tcMar>
              <w:top w:w="17" w:type="dxa"/>
              <w:left w:w="17" w:type="dxa"/>
              <w:bottom w:w="0" w:type="dxa"/>
              <w:right w:w="17" w:type="dxa"/>
            </w:tcMar>
            <w:vAlign w:val="center"/>
          </w:tcPr>
          <w:p w14:paraId="2E7CE464">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center"/>
          </w:tcPr>
          <w:p w14:paraId="293BDE13">
            <w:pPr>
              <w:rPr>
                <w:rFonts w:ascii="仿宋" w:hAnsi="仿宋" w:eastAsia="仿宋" w:cs="仿宋"/>
                <w:color w:val="auto"/>
                <w:szCs w:val="21"/>
                <w:highlight w:val="none"/>
              </w:rPr>
            </w:pPr>
            <w:r>
              <w:rPr>
                <w:rFonts w:hint="eastAsia" w:ascii="仿宋" w:hAnsi="仿宋" w:eastAsia="仿宋" w:cs="仿宋"/>
                <w:color w:val="auto"/>
                <w:szCs w:val="21"/>
                <w:highlight w:val="none"/>
              </w:rPr>
              <w:t>生长旺盛，枝叶健壮，无死树</w:t>
            </w:r>
          </w:p>
        </w:tc>
        <w:tc>
          <w:tcPr>
            <w:tcW w:w="1012" w:type="dxa"/>
            <w:vMerge w:val="restart"/>
            <w:vAlign w:val="center"/>
          </w:tcPr>
          <w:p w14:paraId="595C6726">
            <w:pPr>
              <w:jc w:val="center"/>
              <w:rPr>
                <w:rFonts w:ascii="仿宋" w:hAnsi="仿宋" w:eastAsia="仿宋" w:cs="仿宋"/>
                <w:bCs/>
                <w:color w:val="auto"/>
                <w:szCs w:val="21"/>
                <w:highlight w:val="none"/>
              </w:rPr>
            </w:pPr>
            <w:r>
              <w:rPr>
                <w:rFonts w:hint="eastAsia" w:ascii="仿宋" w:hAnsi="仿宋" w:eastAsia="仿宋" w:cs="仿宋"/>
                <w:color w:val="auto"/>
                <w:szCs w:val="21"/>
                <w:highlight w:val="none"/>
              </w:rPr>
              <w:t>每出现一次/处不合格，扣</w:t>
            </w:r>
            <w:r>
              <w:rPr>
                <w:rFonts w:hint="eastAsia" w:ascii="仿宋" w:hAnsi="仿宋" w:eastAsia="仿宋" w:cs="仿宋"/>
                <w:bCs/>
                <w:color w:val="auto"/>
                <w:szCs w:val="21"/>
                <w:highlight w:val="none"/>
              </w:rPr>
              <w:t>0.5</w:t>
            </w:r>
            <w:r>
              <w:rPr>
                <w:rFonts w:hint="eastAsia" w:ascii="仿宋" w:hAnsi="仿宋" w:eastAsia="仿宋" w:cs="仿宋"/>
                <w:color w:val="auto"/>
                <w:szCs w:val="21"/>
                <w:highlight w:val="none"/>
              </w:rPr>
              <w:t>分</w:t>
            </w:r>
          </w:p>
        </w:tc>
      </w:tr>
      <w:tr w14:paraId="0B27076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6F4CC5C0">
            <w:pPr>
              <w:jc w:val="center"/>
              <w:rPr>
                <w:rFonts w:ascii="仿宋" w:hAnsi="仿宋" w:eastAsia="仿宋" w:cs="仿宋"/>
                <w:color w:val="auto"/>
                <w:szCs w:val="21"/>
                <w:highlight w:val="none"/>
              </w:rPr>
            </w:pPr>
          </w:p>
        </w:tc>
        <w:tc>
          <w:tcPr>
            <w:tcW w:w="906" w:type="dxa"/>
            <w:vMerge w:val="continue"/>
            <w:vAlign w:val="center"/>
          </w:tcPr>
          <w:p w14:paraId="67A8245D">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center"/>
          </w:tcPr>
          <w:p w14:paraId="6DEF873B">
            <w:pPr>
              <w:rPr>
                <w:rFonts w:ascii="仿宋" w:hAnsi="仿宋" w:eastAsia="仿宋" w:cs="仿宋"/>
                <w:color w:val="auto"/>
                <w:szCs w:val="21"/>
                <w:highlight w:val="none"/>
              </w:rPr>
            </w:pPr>
            <w:r>
              <w:rPr>
                <w:rFonts w:hint="eastAsia" w:ascii="仿宋" w:hAnsi="仿宋" w:eastAsia="仿宋" w:cs="仿宋"/>
                <w:color w:val="auto"/>
                <w:szCs w:val="21"/>
                <w:highlight w:val="none"/>
              </w:rPr>
              <w:t>无明显病虫枝，病虫危害率不超过8%，单株受害率不超过8%</w:t>
            </w:r>
          </w:p>
        </w:tc>
        <w:tc>
          <w:tcPr>
            <w:tcW w:w="1012" w:type="dxa"/>
            <w:vMerge w:val="continue"/>
            <w:vAlign w:val="center"/>
          </w:tcPr>
          <w:p w14:paraId="0E13A061">
            <w:pPr>
              <w:jc w:val="center"/>
              <w:rPr>
                <w:rFonts w:ascii="仿宋" w:hAnsi="仿宋" w:eastAsia="仿宋" w:cs="仿宋"/>
                <w:color w:val="auto"/>
                <w:szCs w:val="21"/>
                <w:highlight w:val="none"/>
              </w:rPr>
            </w:pPr>
          </w:p>
        </w:tc>
      </w:tr>
      <w:tr w14:paraId="5F75FB4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15" w:hRule="atLeast"/>
          <w:jc w:val="center"/>
        </w:trPr>
        <w:tc>
          <w:tcPr>
            <w:tcW w:w="606" w:type="dxa"/>
            <w:vMerge w:val="continue"/>
            <w:vAlign w:val="center"/>
          </w:tcPr>
          <w:p w14:paraId="55CF7F07">
            <w:pPr>
              <w:jc w:val="center"/>
              <w:rPr>
                <w:rFonts w:ascii="仿宋" w:hAnsi="仿宋" w:eastAsia="仿宋" w:cs="仿宋"/>
                <w:color w:val="auto"/>
                <w:szCs w:val="21"/>
                <w:highlight w:val="none"/>
              </w:rPr>
            </w:pPr>
          </w:p>
        </w:tc>
        <w:tc>
          <w:tcPr>
            <w:tcW w:w="906" w:type="dxa"/>
            <w:vMerge w:val="continue"/>
            <w:vAlign w:val="center"/>
          </w:tcPr>
          <w:p w14:paraId="78EF05A4">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center"/>
          </w:tcPr>
          <w:p w14:paraId="4778C744">
            <w:pPr>
              <w:rPr>
                <w:rFonts w:ascii="仿宋" w:hAnsi="仿宋" w:eastAsia="仿宋" w:cs="仿宋"/>
                <w:color w:val="auto"/>
                <w:szCs w:val="21"/>
                <w:highlight w:val="none"/>
              </w:rPr>
            </w:pPr>
            <w:r>
              <w:rPr>
                <w:rFonts w:hint="eastAsia" w:ascii="仿宋" w:hAnsi="仿宋" w:eastAsia="仿宋" w:cs="仿宋"/>
                <w:color w:val="auto"/>
                <w:szCs w:val="21"/>
                <w:highlight w:val="none"/>
              </w:rPr>
              <w:t>无严重枯枝黄叶，无缺苗死苗，无黄土裸露，</w:t>
            </w:r>
          </w:p>
        </w:tc>
        <w:tc>
          <w:tcPr>
            <w:tcW w:w="1012" w:type="dxa"/>
            <w:vMerge w:val="continue"/>
            <w:vAlign w:val="center"/>
          </w:tcPr>
          <w:p w14:paraId="790457EE">
            <w:pPr>
              <w:jc w:val="center"/>
              <w:rPr>
                <w:rFonts w:ascii="仿宋" w:hAnsi="仿宋" w:eastAsia="仿宋" w:cs="仿宋"/>
                <w:color w:val="auto"/>
                <w:szCs w:val="21"/>
                <w:highlight w:val="none"/>
              </w:rPr>
            </w:pPr>
          </w:p>
        </w:tc>
      </w:tr>
      <w:tr w14:paraId="09D1A19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15" w:hRule="atLeast"/>
          <w:jc w:val="center"/>
        </w:trPr>
        <w:tc>
          <w:tcPr>
            <w:tcW w:w="606" w:type="dxa"/>
            <w:vMerge w:val="continue"/>
            <w:vAlign w:val="center"/>
          </w:tcPr>
          <w:p w14:paraId="1CF175CC">
            <w:pPr>
              <w:jc w:val="center"/>
              <w:rPr>
                <w:rFonts w:ascii="仿宋" w:hAnsi="仿宋" w:eastAsia="仿宋" w:cs="仿宋"/>
                <w:color w:val="auto"/>
                <w:szCs w:val="21"/>
                <w:highlight w:val="none"/>
              </w:rPr>
            </w:pPr>
          </w:p>
        </w:tc>
        <w:tc>
          <w:tcPr>
            <w:tcW w:w="906" w:type="dxa"/>
            <w:vMerge w:val="continue"/>
            <w:vAlign w:val="center"/>
          </w:tcPr>
          <w:p w14:paraId="379BA573">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center"/>
          </w:tcPr>
          <w:p w14:paraId="4F2CEBD9">
            <w:pPr>
              <w:rPr>
                <w:rFonts w:ascii="仿宋" w:hAnsi="仿宋" w:eastAsia="仿宋" w:cs="仿宋"/>
                <w:color w:val="auto"/>
                <w:szCs w:val="21"/>
                <w:highlight w:val="none"/>
              </w:rPr>
            </w:pPr>
            <w:r>
              <w:rPr>
                <w:rFonts w:hint="eastAsia" w:ascii="仿宋" w:hAnsi="仿宋" w:eastAsia="仿宋" w:cs="仿宋"/>
                <w:color w:val="auto"/>
                <w:szCs w:val="21"/>
                <w:highlight w:val="none"/>
              </w:rPr>
              <w:t>合乎修剪规律、造型植物轮廓清晰、平直整齐、棱角分明、枝条超长10CM即修剪</w:t>
            </w:r>
          </w:p>
        </w:tc>
        <w:tc>
          <w:tcPr>
            <w:tcW w:w="1012" w:type="dxa"/>
            <w:vMerge w:val="continue"/>
            <w:vAlign w:val="center"/>
          </w:tcPr>
          <w:p w14:paraId="30A7ACF4">
            <w:pPr>
              <w:jc w:val="center"/>
              <w:rPr>
                <w:rFonts w:ascii="仿宋" w:hAnsi="仿宋" w:eastAsia="仿宋" w:cs="仿宋"/>
                <w:bCs/>
                <w:color w:val="auto"/>
                <w:szCs w:val="21"/>
                <w:highlight w:val="none"/>
              </w:rPr>
            </w:pPr>
          </w:p>
        </w:tc>
      </w:tr>
      <w:tr w14:paraId="5CF242D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622E24BE">
            <w:pPr>
              <w:jc w:val="center"/>
              <w:rPr>
                <w:rFonts w:ascii="仿宋" w:hAnsi="仿宋" w:eastAsia="仿宋" w:cs="仿宋"/>
                <w:color w:val="auto"/>
                <w:szCs w:val="21"/>
                <w:highlight w:val="none"/>
              </w:rPr>
            </w:pPr>
          </w:p>
        </w:tc>
        <w:tc>
          <w:tcPr>
            <w:tcW w:w="906" w:type="dxa"/>
            <w:vMerge w:val="continue"/>
            <w:vAlign w:val="center"/>
          </w:tcPr>
          <w:p w14:paraId="7203971E">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center"/>
          </w:tcPr>
          <w:p w14:paraId="57C33654">
            <w:pPr>
              <w:rPr>
                <w:rFonts w:ascii="仿宋" w:hAnsi="仿宋" w:eastAsia="仿宋" w:cs="仿宋"/>
                <w:color w:val="auto"/>
                <w:szCs w:val="21"/>
                <w:highlight w:val="none"/>
              </w:rPr>
            </w:pPr>
            <w:r>
              <w:rPr>
                <w:rFonts w:hint="eastAsia" w:ascii="仿宋" w:hAnsi="仿宋" w:eastAsia="仿宋" w:cs="仿宋"/>
                <w:color w:val="auto"/>
                <w:szCs w:val="21"/>
                <w:highlight w:val="none"/>
              </w:rPr>
              <w:t>预留观花的灌木，保证开花繁茂，枝条不过于杂乱</w:t>
            </w:r>
          </w:p>
        </w:tc>
        <w:tc>
          <w:tcPr>
            <w:tcW w:w="1012" w:type="dxa"/>
            <w:vMerge w:val="continue"/>
            <w:vAlign w:val="center"/>
          </w:tcPr>
          <w:p w14:paraId="3411A5D7">
            <w:pPr>
              <w:jc w:val="center"/>
              <w:rPr>
                <w:rFonts w:ascii="仿宋" w:hAnsi="仿宋" w:eastAsia="仿宋" w:cs="仿宋"/>
                <w:color w:val="auto"/>
                <w:szCs w:val="21"/>
                <w:highlight w:val="none"/>
              </w:rPr>
            </w:pPr>
          </w:p>
        </w:tc>
      </w:tr>
      <w:tr w14:paraId="2828957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63AA383C">
            <w:pPr>
              <w:jc w:val="center"/>
              <w:rPr>
                <w:rFonts w:ascii="仿宋" w:hAnsi="仿宋" w:eastAsia="仿宋" w:cs="仿宋"/>
                <w:color w:val="auto"/>
                <w:szCs w:val="21"/>
                <w:highlight w:val="none"/>
              </w:rPr>
            </w:pPr>
          </w:p>
        </w:tc>
        <w:tc>
          <w:tcPr>
            <w:tcW w:w="906" w:type="dxa"/>
            <w:vMerge w:val="continue"/>
            <w:vAlign w:val="center"/>
          </w:tcPr>
          <w:p w14:paraId="3193B44A">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center"/>
          </w:tcPr>
          <w:p w14:paraId="03C32B86">
            <w:pPr>
              <w:rPr>
                <w:rFonts w:ascii="仿宋" w:hAnsi="仿宋" w:eastAsia="仿宋" w:cs="仿宋"/>
                <w:color w:val="auto"/>
                <w:szCs w:val="21"/>
                <w:highlight w:val="none"/>
              </w:rPr>
            </w:pPr>
            <w:r>
              <w:rPr>
                <w:rFonts w:hint="eastAsia" w:ascii="仿宋" w:hAnsi="仿宋" w:eastAsia="仿宋" w:cs="仿宋"/>
                <w:color w:val="auto"/>
                <w:szCs w:val="21"/>
                <w:highlight w:val="none"/>
              </w:rPr>
              <w:t>越冬重剪不妨碍观瞻，保留部分主侧枝</w:t>
            </w:r>
          </w:p>
        </w:tc>
        <w:tc>
          <w:tcPr>
            <w:tcW w:w="1012" w:type="dxa"/>
            <w:vMerge w:val="continue"/>
            <w:vAlign w:val="center"/>
          </w:tcPr>
          <w:p w14:paraId="1B55E77B">
            <w:pPr>
              <w:jc w:val="center"/>
              <w:rPr>
                <w:rFonts w:ascii="仿宋" w:hAnsi="仿宋" w:eastAsia="仿宋" w:cs="仿宋"/>
                <w:color w:val="auto"/>
                <w:szCs w:val="21"/>
                <w:highlight w:val="none"/>
              </w:rPr>
            </w:pPr>
          </w:p>
        </w:tc>
      </w:tr>
      <w:tr w14:paraId="78217AE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51D00018">
            <w:pPr>
              <w:jc w:val="center"/>
              <w:rPr>
                <w:rFonts w:ascii="仿宋" w:hAnsi="仿宋" w:eastAsia="仿宋" w:cs="仿宋"/>
                <w:color w:val="auto"/>
                <w:szCs w:val="21"/>
                <w:highlight w:val="none"/>
              </w:rPr>
            </w:pPr>
          </w:p>
        </w:tc>
        <w:tc>
          <w:tcPr>
            <w:tcW w:w="906" w:type="dxa"/>
            <w:vMerge w:val="continue"/>
            <w:vAlign w:val="center"/>
          </w:tcPr>
          <w:p w14:paraId="5C1DC3B0">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center"/>
          </w:tcPr>
          <w:p w14:paraId="22648713">
            <w:pPr>
              <w:rPr>
                <w:rFonts w:ascii="仿宋" w:hAnsi="仿宋" w:eastAsia="仿宋" w:cs="仿宋"/>
                <w:color w:val="auto"/>
                <w:szCs w:val="21"/>
                <w:highlight w:val="none"/>
              </w:rPr>
            </w:pPr>
            <w:r>
              <w:rPr>
                <w:rFonts w:hint="eastAsia" w:ascii="仿宋" w:hAnsi="仿宋" w:eastAsia="仿宋" w:cs="仿宋"/>
                <w:color w:val="auto"/>
                <w:szCs w:val="21"/>
                <w:highlight w:val="none"/>
              </w:rPr>
              <w:t>保持正常生长需要，无缺水情况，养分适量、无缺肥、不徒长</w:t>
            </w:r>
          </w:p>
        </w:tc>
        <w:tc>
          <w:tcPr>
            <w:tcW w:w="1012" w:type="dxa"/>
            <w:vMerge w:val="continue"/>
            <w:vAlign w:val="center"/>
          </w:tcPr>
          <w:p w14:paraId="061BEF20">
            <w:pPr>
              <w:jc w:val="center"/>
              <w:rPr>
                <w:rFonts w:ascii="仿宋" w:hAnsi="仿宋" w:eastAsia="仿宋" w:cs="仿宋"/>
                <w:bCs/>
                <w:color w:val="auto"/>
                <w:szCs w:val="21"/>
                <w:highlight w:val="none"/>
              </w:rPr>
            </w:pPr>
          </w:p>
        </w:tc>
      </w:tr>
      <w:tr w14:paraId="2DF1EA4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2C597894">
            <w:pPr>
              <w:jc w:val="center"/>
              <w:rPr>
                <w:rFonts w:ascii="仿宋" w:hAnsi="仿宋" w:eastAsia="仿宋" w:cs="仿宋"/>
                <w:color w:val="auto"/>
                <w:szCs w:val="21"/>
                <w:highlight w:val="none"/>
              </w:rPr>
            </w:pPr>
          </w:p>
        </w:tc>
        <w:tc>
          <w:tcPr>
            <w:tcW w:w="906" w:type="dxa"/>
            <w:vMerge w:val="continue"/>
            <w:vAlign w:val="center"/>
          </w:tcPr>
          <w:p w14:paraId="4554431A">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center"/>
          </w:tcPr>
          <w:p w14:paraId="1901F4C9">
            <w:pPr>
              <w:rPr>
                <w:rFonts w:ascii="仿宋" w:hAnsi="仿宋" w:eastAsia="仿宋" w:cs="仿宋"/>
                <w:color w:val="auto"/>
                <w:szCs w:val="21"/>
                <w:highlight w:val="none"/>
              </w:rPr>
            </w:pPr>
            <w:r>
              <w:rPr>
                <w:rFonts w:hint="eastAsia" w:ascii="仿宋" w:hAnsi="仿宋" w:eastAsia="仿宋" w:cs="仿宋"/>
                <w:color w:val="auto"/>
                <w:szCs w:val="21"/>
                <w:highlight w:val="none"/>
              </w:rPr>
              <w:t>边缘整洁、土壤疏松</w:t>
            </w:r>
          </w:p>
        </w:tc>
        <w:tc>
          <w:tcPr>
            <w:tcW w:w="1012" w:type="dxa"/>
            <w:vMerge w:val="continue"/>
            <w:vAlign w:val="center"/>
          </w:tcPr>
          <w:p w14:paraId="1715FFA4">
            <w:pPr>
              <w:jc w:val="center"/>
              <w:rPr>
                <w:rFonts w:ascii="仿宋" w:hAnsi="仿宋" w:eastAsia="仿宋" w:cs="仿宋"/>
                <w:bCs/>
                <w:color w:val="auto"/>
                <w:szCs w:val="21"/>
                <w:highlight w:val="none"/>
              </w:rPr>
            </w:pPr>
          </w:p>
        </w:tc>
      </w:tr>
      <w:tr w14:paraId="11ED2B9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28" w:hRule="atLeast"/>
          <w:jc w:val="center"/>
        </w:trPr>
        <w:tc>
          <w:tcPr>
            <w:tcW w:w="606" w:type="dxa"/>
            <w:vMerge w:val="continue"/>
            <w:vAlign w:val="center"/>
          </w:tcPr>
          <w:p w14:paraId="58FCB9D6">
            <w:pPr>
              <w:jc w:val="center"/>
              <w:rPr>
                <w:rFonts w:ascii="仿宋" w:hAnsi="仿宋" w:eastAsia="仿宋" w:cs="仿宋"/>
                <w:color w:val="auto"/>
                <w:szCs w:val="21"/>
                <w:highlight w:val="none"/>
              </w:rPr>
            </w:pPr>
          </w:p>
        </w:tc>
        <w:tc>
          <w:tcPr>
            <w:tcW w:w="906" w:type="dxa"/>
            <w:vMerge w:val="restart"/>
            <w:vAlign w:val="center"/>
          </w:tcPr>
          <w:p w14:paraId="2E413B1C">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绿篱地被花丛</w:t>
            </w:r>
          </w:p>
        </w:tc>
        <w:tc>
          <w:tcPr>
            <w:tcW w:w="5792" w:type="dxa"/>
            <w:tcMar>
              <w:top w:w="17" w:type="dxa"/>
              <w:left w:w="17" w:type="dxa"/>
              <w:bottom w:w="0" w:type="dxa"/>
              <w:right w:w="17" w:type="dxa"/>
            </w:tcMar>
          </w:tcPr>
          <w:p w14:paraId="4E0559E3">
            <w:pPr>
              <w:rPr>
                <w:rFonts w:ascii="仿宋" w:hAnsi="仿宋" w:eastAsia="仿宋" w:cs="仿宋"/>
                <w:color w:val="auto"/>
                <w:szCs w:val="21"/>
                <w:highlight w:val="none"/>
              </w:rPr>
            </w:pPr>
            <w:r>
              <w:rPr>
                <w:rFonts w:hint="eastAsia" w:ascii="仿宋" w:hAnsi="仿宋" w:eastAsia="仿宋" w:cs="仿宋"/>
                <w:color w:val="auto"/>
                <w:szCs w:val="21"/>
                <w:highlight w:val="none"/>
              </w:rPr>
              <w:t>无明显病虫枝，病虫危害率每百平方米不超过5%</w:t>
            </w:r>
          </w:p>
        </w:tc>
        <w:tc>
          <w:tcPr>
            <w:tcW w:w="1012" w:type="dxa"/>
            <w:vMerge w:val="restart"/>
            <w:vAlign w:val="center"/>
          </w:tcPr>
          <w:p w14:paraId="0C6D4FCA">
            <w:pPr>
              <w:jc w:val="center"/>
              <w:rPr>
                <w:rFonts w:ascii="仿宋" w:hAnsi="仿宋" w:eastAsia="仿宋" w:cs="仿宋"/>
                <w:bCs/>
                <w:color w:val="auto"/>
                <w:szCs w:val="21"/>
                <w:highlight w:val="none"/>
              </w:rPr>
            </w:pPr>
            <w:r>
              <w:rPr>
                <w:rFonts w:hint="eastAsia" w:ascii="仿宋" w:hAnsi="仿宋" w:eastAsia="仿宋" w:cs="仿宋"/>
                <w:color w:val="auto"/>
                <w:szCs w:val="21"/>
                <w:highlight w:val="none"/>
              </w:rPr>
              <w:t>每出现一次/处不合格，扣</w:t>
            </w:r>
            <w:r>
              <w:rPr>
                <w:rFonts w:hint="eastAsia" w:ascii="仿宋" w:hAnsi="仿宋" w:eastAsia="仿宋" w:cs="仿宋"/>
                <w:bCs/>
                <w:color w:val="auto"/>
                <w:szCs w:val="21"/>
                <w:highlight w:val="none"/>
              </w:rPr>
              <w:t>0.5</w:t>
            </w:r>
            <w:r>
              <w:rPr>
                <w:rFonts w:hint="eastAsia" w:ascii="仿宋" w:hAnsi="仿宋" w:eastAsia="仿宋" w:cs="仿宋"/>
                <w:color w:val="auto"/>
                <w:szCs w:val="21"/>
                <w:highlight w:val="none"/>
              </w:rPr>
              <w:t>分</w:t>
            </w:r>
          </w:p>
        </w:tc>
      </w:tr>
      <w:tr w14:paraId="42BD38C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63E18CFD">
            <w:pPr>
              <w:jc w:val="center"/>
              <w:rPr>
                <w:rFonts w:ascii="仿宋" w:hAnsi="仿宋" w:eastAsia="仿宋" w:cs="仿宋"/>
                <w:color w:val="auto"/>
                <w:szCs w:val="21"/>
                <w:highlight w:val="none"/>
              </w:rPr>
            </w:pPr>
          </w:p>
        </w:tc>
        <w:tc>
          <w:tcPr>
            <w:tcW w:w="906" w:type="dxa"/>
            <w:vMerge w:val="continue"/>
            <w:tcMar>
              <w:top w:w="17" w:type="dxa"/>
              <w:left w:w="17" w:type="dxa"/>
              <w:bottom w:w="0" w:type="dxa"/>
              <w:right w:w="17" w:type="dxa"/>
            </w:tcMar>
            <w:vAlign w:val="center"/>
          </w:tcPr>
          <w:p w14:paraId="5C110E05">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129C9E20">
            <w:pPr>
              <w:rPr>
                <w:rFonts w:ascii="仿宋" w:hAnsi="仿宋" w:eastAsia="仿宋" w:cs="仿宋"/>
                <w:color w:val="auto"/>
                <w:szCs w:val="21"/>
                <w:highlight w:val="none"/>
              </w:rPr>
            </w:pPr>
            <w:r>
              <w:rPr>
                <w:rFonts w:hint="eastAsia" w:ascii="仿宋" w:hAnsi="仿宋" w:eastAsia="仿宋" w:cs="仿宋"/>
                <w:color w:val="auto"/>
                <w:szCs w:val="21"/>
                <w:highlight w:val="none"/>
              </w:rPr>
              <w:t>多种植物成片种植时，轮廓线整齐有层次，内层植物高于外层植物</w:t>
            </w:r>
          </w:p>
        </w:tc>
        <w:tc>
          <w:tcPr>
            <w:tcW w:w="1012" w:type="dxa"/>
            <w:vMerge w:val="continue"/>
            <w:vAlign w:val="center"/>
          </w:tcPr>
          <w:p w14:paraId="3D476460">
            <w:pPr>
              <w:jc w:val="center"/>
              <w:rPr>
                <w:rFonts w:ascii="仿宋" w:hAnsi="仿宋" w:eastAsia="仿宋" w:cs="仿宋"/>
                <w:color w:val="auto"/>
                <w:szCs w:val="21"/>
                <w:highlight w:val="none"/>
              </w:rPr>
            </w:pPr>
          </w:p>
        </w:tc>
      </w:tr>
      <w:tr w14:paraId="1CD1FD4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375A2E34">
            <w:pPr>
              <w:jc w:val="center"/>
              <w:rPr>
                <w:rFonts w:ascii="仿宋" w:hAnsi="仿宋" w:eastAsia="仿宋" w:cs="仿宋"/>
                <w:color w:val="auto"/>
                <w:szCs w:val="21"/>
                <w:highlight w:val="none"/>
              </w:rPr>
            </w:pPr>
          </w:p>
        </w:tc>
        <w:tc>
          <w:tcPr>
            <w:tcW w:w="906" w:type="dxa"/>
            <w:vMerge w:val="continue"/>
            <w:vAlign w:val="center"/>
          </w:tcPr>
          <w:p w14:paraId="1523B35A">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7E26DD93">
            <w:pPr>
              <w:rPr>
                <w:rFonts w:ascii="仿宋" w:hAnsi="仿宋" w:eastAsia="仿宋" w:cs="仿宋"/>
                <w:color w:val="auto"/>
                <w:szCs w:val="21"/>
                <w:highlight w:val="none"/>
              </w:rPr>
            </w:pPr>
            <w:r>
              <w:rPr>
                <w:rFonts w:hint="eastAsia" w:ascii="仿宋" w:hAnsi="仿宋" w:eastAsia="仿宋" w:cs="仿宋"/>
                <w:color w:val="auto"/>
                <w:szCs w:val="21"/>
                <w:highlight w:val="none"/>
              </w:rPr>
              <w:t>绿篱、花丛边幅修剪整齐美观，单体花坛线条清晰；整形绿篱侧面修剪成倒梯形</w:t>
            </w:r>
          </w:p>
        </w:tc>
        <w:tc>
          <w:tcPr>
            <w:tcW w:w="1012" w:type="dxa"/>
            <w:vMerge w:val="continue"/>
            <w:vAlign w:val="center"/>
          </w:tcPr>
          <w:p w14:paraId="20BDE53B">
            <w:pPr>
              <w:jc w:val="center"/>
              <w:rPr>
                <w:rFonts w:ascii="仿宋" w:hAnsi="仿宋" w:eastAsia="仿宋" w:cs="仿宋"/>
                <w:color w:val="auto"/>
                <w:szCs w:val="21"/>
                <w:highlight w:val="none"/>
              </w:rPr>
            </w:pPr>
          </w:p>
        </w:tc>
      </w:tr>
      <w:tr w14:paraId="1F8D2C7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6470404B">
            <w:pPr>
              <w:jc w:val="center"/>
              <w:rPr>
                <w:rFonts w:ascii="仿宋" w:hAnsi="仿宋" w:eastAsia="仿宋" w:cs="仿宋"/>
                <w:color w:val="auto"/>
                <w:szCs w:val="21"/>
                <w:highlight w:val="none"/>
              </w:rPr>
            </w:pPr>
          </w:p>
        </w:tc>
        <w:tc>
          <w:tcPr>
            <w:tcW w:w="906" w:type="dxa"/>
            <w:vMerge w:val="continue"/>
            <w:vAlign w:val="center"/>
          </w:tcPr>
          <w:p w14:paraId="3F547CC8">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29D36E06">
            <w:pPr>
              <w:rPr>
                <w:rFonts w:ascii="仿宋" w:hAnsi="仿宋" w:eastAsia="仿宋" w:cs="仿宋"/>
                <w:color w:val="auto"/>
                <w:szCs w:val="21"/>
                <w:highlight w:val="none"/>
              </w:rPr>
            </w:pPr>
            <w:r>
              <w:rPr>
                <w:rFonts w:hint="eastAsia" w:ascii="仿宋" w:hAnsi="仿宋" w:eastAsia="仿宋" w:cs="仿宋"/>
                <w:color w:val="auto"/>
                <w:szCs w:val="21"/>
                <w:highlight w:val="none"/>
              </w:rPr>
              <w:t>绿篱花丛内无枯枝枯叶和大的建筑垃圾，无黄土裸露，枝条超长10CM即修剪</w:t>
            </w:r>
          </w:p>
        </w:tc>
        <w:tc>
          <w:tcPr>
            <w:tcW w:w="1012" w:type="dxa"/>
            <w:vMerge w:val="continue"/>
            <w:vAlign w:val="center"/>
          </w:tcPr>
          <w:p w14:paraId="3973A7D7">
            <w:pPr>
              <w:jc w:val="center"/>
              <w:rPr>
                <w:rFonts w:ascii="仿宋" w:hAnsi="仿宋" w:eastAsia="仿宋" w:cs="仿宋"/>
                <w:color w:val="auto"/>
                <w:szCs w:val="21"/>
                <w:highlight w:val="none"/>
              </w:rPr>
            </w:pPr>
          </w:p>
        </w:tc>
      </w:tr>
      <w:tr w14:paraId="5459C44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15" w:hRule="atLeast"/>
          <w:jc w:val="center"/>
        </w:trPr>
        <w:tc>
          <w:tcPr>
            <w:tcW w:w="606" w:type="dxa"/>
            <w:vMerge w:val="continue"/>
            <w:vAlign w:val="center"/>
          </w:tcPr>
          <w:p w14:paraId="69883262">
            <w:pPr>
              <w:jc w:val="center"/>
              <w:rPr>
                <w:rFonts w:ascii="仿宋" w:hAnsi="仿宋" w:eastAsia="仿宋" w:cs="仿宋"/>
                <w:color w:val="auto"/>
                <w:szCs w:val="21"/>
                <w:highlight w:val="none"/>
              </w:rPr>
            </w:pPr>
          </w:p>
        </w:tc>
        <w:tc>
          <w:tcPr>
            <w:tcW w:w="906" w:type="dxa"/>
            <w:vMerge w:val="continue"/>
            <w:vAlign w:val="center"/>
          </w:tcPr>
          <w:p w14:paraId="1DAA7809">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7C21E455">
            <w:pPr>
              <w:rPr>
                <w:rFonts w:ascii="仿宋" w:hAnsi="仿宋" w:eastAsia="仿宋" w:cs="仿宋"/>
                <w:color w:val="auto"/>
                <w:szCs w:val="21"/>
                <w:highlight w:val="none"/>
              </w:rPr>
            </w:pPr>
            <w:r>
              <w:rPr>
                <w:rFonts w:hint="eastAsia" w:ascii="仿宋" w:hAnsi="仿宋" w:eastAsia="仿宋" w:cs="仿宋"/>
                <w:color w:val="auto"/>
                <w:szCs w:val="21"/>
                <w:highlight w:val="none"/>
              </w:rPr>
              <w:t>绿篱、花坛内无杂草，草地不长入绿篱、花坛内；砍边处理</w:t>
            </w:r>
          </w:p>
        </w:tc>
        <w:tc>
          <w:tcPr>
            <w:tcW w:w="1012" w:type="dxa"/>
            <w:vMerge w:val="continue"/>
            <w:vAlign w:val="center"/>
          </w:tcPr>
          <w:p w14:paraId="5CC15CF7">
            <w:pPr>
              <w:jc w:val="center"/>
              <w:rPr>
                <w:rFonts w:ascii="仿宋" w:hAnsi="仿宋" w:eastAsia="仿宋" w:cs="仿宋"/>
                <w:color w:val="auto"/>
                <w:szCs w:val="21"/>
                <w:highlight w:val="none"/>
              </w:rPr>
            </w:pPr>
          </w:p>
        </w:tc>
      </w:tr>
      <w:tr w14:paraId="1DED715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140DC551">
            <w:pPr>
              <w:jc w:val="center"/>
              <w:rPr>
                <w:rFonts w:ascii="仿宋" w:hAnsi="仿宋" w:eastAsia="仿宋" w:cs="仿宋"/>
                <w:color w:val="auto"/>
                <w:szCs w:val="21"/>
                <w:highlight w:val="none"/>
              </w:rPr>
            </w:pPr>
          </w:p>
        </w:tc>
        <w:tc>
          <w:tcPr>
            <w:tcW w:w="906" w:type="dxa"/>
            <w:vMerge w:val="continue"/>
            <w:vAlign w:val="center"/>
          </w:tcPr>
          <w:p w14:paraId="6A1A67E6">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70BA9D8E">
            <w:pPr>
              <w:rPr>
                <w:rFonts w:ascii="仿宋" w:hAnsi="仿宋" w:eastAsia="仿宋" w:cs="仿宋"/>
                <w:color w:val="auto"/>
                <w:szCs w:val="21"/>
                <w:highlight w:val="none"/>
              </w:rPr>
            </w:pPr>
            <w:r>
              <w:rPr>
                <w:rFonts w:hint="eastAsia" w:ascii="仿宋" w:hAnsi="仿宋" w:eastAsia="仿宋" w:cs="仿宋"/>
                <w:color w:val="auto"/>
                <w:szCs w:val="21"/>
                <w:highlight w:val="none"/>
              </w:rPr>
              <w:t>尚未郁闭的花坛、绿篱边缘整洁，土壤疏松</w:t>
            </w:r>
          </w:p>
        </w:tc>
        <w:tc>
          <w:tcPr>
            <w:tcW w:w="1012" w:type="dxa"/>
            <w:vMerge w:val="continue"/>
            <w:vAlign w:val="center"/>
          </w:tcPr>
          <w:p w14:paraId="602B71A6">
            <w:pPr>
              <w:jc w:val="center"/>
              <w:rPr>
                <w:rFonts w:ascii="仿宋" w:hAnsi="仿宋" w:eastAsia="仿宋" w:cs="仿宋"/>
                <w:color w:val="auto"/>
                <w:szCs w:val="21"/>
                <w:highlight w:val="none"/>
              </w:rPr>
            </w:pPr>
          </w:p>
        </w:tc>
      </w:tr>
      <w:tr w14:paraId="4B6E371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1D0B48D2">
            <w:pPr>
              <w:jc w:val="center"/>
              <w:rPr>
                <w:rFonts w:ascii="仿宋" w:hAnsi="仿宋" w:eastAsia="仿宋" w:cs="仿宋"/>
                <w:color w:val="auto"/>
                <w:szCs w:val="21"/>
                <w:highlight w:val="none"/>
              </w:rPr>
            </w:pPr>
          </w:p>
        </w:tc>
        <w:tc>
          <w:tcPr>
            <w:tcW w:w="906" w:type="dxa"/>
            <w:vMerge w:val="continue"/>
            <w:vAlign w:val="center"/>
          </w:tcPr>
          <w:p w14:paraId="31EA319B">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44360FEB">
            <w:pPr>
              <w:rPr>
                <w:rFonts w:ascii="仿宋" w:hAnsi="仿宋" w:eastAsia="仿宋" w:cs="仿宋"/>
                <w:color w:val="auto"/>
                <w:szCs w:val="21"/>
                <w:highlight w:val="none"/>
              </w:rPr>
            </w:pPr>
            <w:r>
              <w:rPr>
                <w:rFonts w:hint="eastAsia" w:ascii="仿宋" w:hAnsi="仿宋" w:eastAsia="仿宋" w:cs="仿宋"/>
                <w:color w:val="auto"/>
                <w:szCs w:val="21"/>
                <w:highlight w:val="none"/>
              </w:rPr>
              <w:t>草边切除整齐，杂草不入花丛</w:t>
            </w:r>
          </w:p>
        </w:tc>
        <w:tc>
          <w:tcPr>
            <w:tcW w:w="1012" w:type="dxa"/>
            <w:vMerge w:val="continue"/>
            <w:vAlign w:val="center"/>
          </w:tcPr>
          <w:p w14:paraId="70161651">
            <w:pPr>
              <w:jc w:val="center"/>
              <w:rPr>
                <w:rFonts w:ascii="仿宋" w:hAnsi="仿宋" w:eastAsia="仿宋" w:cs="仿宋"/>
                <w:color w:val="auto"/>
                <w:szCs w:val="21"/>
                <w:highlight w:val="none"/>
              </w:rPr>
            </w:pPr>
          </w:p>
        </w:tc>
      </w:tr>
      <w:tr w14:paraId="2D9EC25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41B50311">
            <w:pPr>
              <w:jc w:val="center"/>
              <w:rPr>
                <w:rFonts w:ascii="仿宋" w:hAnsi="仿宋" w:eastAsia="仿宋" w:cs="仿宋"/>
                <w:color w:val="auto"/>
                <w:szCs w:val="21"/>
                <w:highlight w:val="none"/>
              </w:rPr>
            </w:pPr>
          </w:p>
        </w:tc>
        <w:tc>
          <w:tcPr>
            <w:tcW w:w="906" w:type="dxa"/>
            <w:vMerge w:val="continue"/>
            <w:vAlign w:val="center"/>
          </w:tcPr>
          <w:p w14:paraId="7FBB9283">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711BC1C5">
            <w:pPr>
              <w:rPr>
                <w:rFonts w:ascii="仿宋" w:hAnsi="仿宋" w:eastAsia="仿宋" w:cs="仿宋"/>
                <w:color w:val="auto"/>
                <w:szCs w:val="21"/>
                <w:highlight w:val="none"/>
              </w:rPr>
            </w:pPr>
            <w:r>
              <w:rPr>
                <w:rFonts w:hint="eastAsia" w:ascii="仿宋" w:hAnsi="仿宋" w:eastAsia="仿宋" w:cs="仿宋"/>
                <w:color w:val="auto"/>
                <w:szCs w:val="21"/>
                <w:highlight w:val="none"/>
              </w:rPr>
              <w:t>生长旺盛，缺苗、死苗及时更换</w:t>
            </w:r>
          </w:p>
        </w:tc>
        <w:tc>
          <w:tcPr>
            <w:tcW w:w="1012" w:type="dxa"/>
            <w:vMerge w:val="continue"/>
            <w:vAlign w:val="center"/>
          </w:tcPr>
          <w:p w14:paraId="05BF698E">
            <w:pPr>
              <w:jc w:val="center"/>
              <w:rPr>
                <w:rFonts w:ascii="仿宋" w:hAnsi="仿宋" w:eastAsia="仿宋" w:cs="仿宋"/>
                <w:color w:val="auto"/>
                <w:szCs w:val="21"/>
                <w:highlight w:val="none"/>
              </w:rPr>
            </w:pPr>
          </w:p>
        </w:tc>
      </w:tr>
      <w:tr w14:paraId="66A0A37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69C8CD66">
            <w:pPr>
              <w:jc w:val="center"/>
              <w:rPr>
                <w:rFonts w:ascii="仿宋" w:hAnsi="仿宋" w:eastAsia="仿宋" w:cs="仿宋"/>
                <w:color w:val="auto"/>
                <w:szCs w:val="21"/>
                <w:highlight w:val="none"/>
              </w:rPr>
            </w:pPr>
          </w:p>
        </w:tc>
        <w:tc>
          <w:tcPr>
            <w:tcW w:w="906" w:type="dxa"/>
            <w:vMerge w:val="continue"/>
            <w:vAlign w:val="center"/>
          </w:tcPr>
          <w:p w14:paraId="6F39260C">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47352AF0">
            <w:pPr>
              <w:rPr>
                <w:rFonts w:ascii="仿宋" w:hAnsi="仿宋" w:eastAsia="仿宋" w:cs="仿宋"/>
                <w:color w:val="auto"/>
                <w:szCs w:val="21"/>
                <w:highlight w:val="none"/>
              </w:rPr>
            </w:pPr>
            <w:r>
              <w:rPr>
                <w:rFonts w:hint="eastAsia" w:ascii="仿宋" w:hAnsi="仿宋" w:eastAsia="仿宋" w:cs="仿宋"/>
                <w:color w:val="auto"/>
                <w:szCs w:val="21"/>
                <w:highlight w:val="none"/>
              </w:rPr>
              <w:t>过密花丛及时分栽、老化花丛及时翻种</w:t>
            </w:r>
          </w:p>
        </w:tc>
        <w:tc>
          <w:tcPr>
            <w:tcW w:w="1012" w:type="dxa"/>
            <w:vMerge w:val="continue"/>
            <w:vAlign w:val="center"/>
          </w:tcPr>
          <w:p w14:paraId="0A4FF657">
            <w:pPr>
              <w:jc w:val="center"/>
              <w:rPr>
                <w:rFonts w:ascii="仿宋" w:hAnsi="仿宋" w:eastAsia="仿宋" w:cs="仿宋"/>
                <w:color w:val="auto"/>
                <w:szCs w:val="21"/>
                <w:highlight w:val="none"/>
              </w:rPr>
            </w:pPr>
          </w:p>
        </w:tc>
      </w:tr>
      <w:tr w14:paraId="6B4E7A0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31999BEF">
            <w:pPr>
              <w:jc w:val="center"/>
              <w:rPr>
                <w:rFonts w:ascii="仿宋" w:hAnsi="仿宋" w:eastAsia="仿宋" w:cs="仿宋"/>
                <w:color w:val="auto"/>
                <w:szCs w:val="21"/>
                <w:highlight w:val="none"/>
              </w:rPr>
            </w:pPr>
          </w:p>
        </w:tc>
        <w:tc>
          <w:tcPr>
            <w:tcW w:w="906" w:type="dxa"/>
            <w:vMerge w:val="continue"/>
            <w:vAlign w:val="center"/>
          </w:tcPr>
          <w:p w14:paraId="1DE6F2D3">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57D9857B">
            <w:pPr>
              <w:rPr>
                <w:rFonts w:ascii="仿宋" w:hAnsi="仿宋" w:eastAsia="仿宋" w:cs="仿宋"/>
                <w:color w:val="auto"/>
                <w:szCs w:val="21"/>
                <w:highlight w:val="none"/>
              </w:rPr>
            </w:pPr>
            <w:r>
              <w:rPr>
                <w:rFonts w:hint="eastAsia" w:ascii="仿宋" w:hAnsi="仿宋" w:eastAsia="仿宋" w:cs="仿宋"/>
                <w:color w:val="auto"/>
                <w:szCs w:val="21"/>
                <w:highlight w:val="none"/>
              </w:rPr>
              <w:t>保持正常生长需要、无缺水，养分适量、无缺肥、不徒长</w:t>
            </w:r>
          </w:p>
        </w:tc>
        <w:tc>
          <w:tcPr>
            <w:tcW w:w="1012" w:type="dxa"/>
            <w:vMerge w:val="continue"/>
            <w:vAlign w:val="center"/>
          </w:tcPr>
          <w:p w14:paraId="3AAF5292">
            <w:pPr>
              <w:jc w:val="center"/>
              <w:rPr>
                <w:rFonts w:ascii="仿宋" w:hAnsi="仿宋" w:eastAsia="仿宋" w:cs="仿宋"/>
                <w:bCs/>
                <w:color w:val="auto"/>
                <w:szCs w:val="21"/>
                <w:highlight w:val="none"/>
              </w:rPr>
            </w:pPr>
          </w:p>
        </w:tc>
      </w:tr>
      <w:tr w14:paraId="0DDA914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5C5B820C">
            <w:pPr>
              <w:jc w:val="center"/>
              <w:rPr>
                <w:rFonts w:ascii="仿宋" w:hAnsi="仿宋" w:eastAsia="仿宋" w:cs="仿宋"/>
                <w:color w:val="auto"/>
                <w:szCs w:val="21"/>
                <w:highlight w:val="none"/>
              </w:rPr>
            </w:pPr>
          </w:p>
        </w:tc>
        <w:tc>
          <w:tcPr>
            <w:tcW w:w="906" w:type="dxa"/>
            <w:vMerge w:val="continue"/>
            <w:vAlign w:val="center"/>
          </w:tcPr>
          <w:p w14:paraId="653BB7D7">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0AE558AF">
            <w:pPr>
              <w:rPr>
                <w:rFonts w:ascii="仿宋" w:hAnsi="仿宋" w:eastAsia="仿宋" w:cs="仿宋"/>
                <w:color w:val="auto"/>
                <w:szCs w:val="21"/>
                <w:highlight w:val="none"/>
              </w:rPr>
            </w:pPr>
            <w:r>
              <w:rPr>
                <w:rFonts w:hint="eastAsia" w:ascii="仿宋" w:hAnsi="仿宋" w:eastAsia="仿宋" w:cs="仿宋"/>
                <w:color w:val="auto"/>
                <w:szCs w:val="21"/>
                <w:highlight w:val="none"/>
              </w:rPr>
              <w:t>进行更新、翻种的花丛，有提示性标识</w:t>
            </w:r>
          </w:p>
        </w:tc>
        <w:tc>
          <w:tcPr>
            <w:tcW w:w="1012" w:type="dxa"/>
            <w:vMerge w:val="continue"/>
            <w:vAlign w:val="center"/>
          </w:tcPr>
          <w:p w14:paraId="78687B69">
            <w:pPr>
              <w:jc w:val="center"/>
              <w:rPr>
                <w:rFonts w:ascii="仿宋" w:hAnsi="仿宋" w:eastAsia="仿宋" w:cs="仿宋"/>
                <w:color w:val="auto"/>
                <w:szCs w:val="21"/>
                <w:highlight w:val="none"/>
              </w:rPr>
            </w:pPr>
          </w:p>
        </w:tc>
      </w:tr>
      <w:tr w14:paraId="6327CA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5C1580E5">
            <w:pPr>
              <w:jc w:val="center"/>
              <w:rPr>
                <w:rFonts w:ascii="仿宋" w:hAnsi="仿宋" w:eastAsia="仿宋" w:cs="仿宋"/>
                <w:color w:val="auto"/>
                <w:szCs w:val="21"/>
                <w:highlight w:val="none"/>
              </w:rPr>
            </w:pPr>
          </w:p>
        </w:tc>
        <w:tc>
          <w:tcPr>
            <w:tcW w:w="906" w:type="dxa"/>
            <w:vMerge w:val="restart"/>
            <w:tcMar>
              <w:top w:w="17" w:type="dxa"/>
              <w:left w:w="17" w:type="dxa"/>
              <w:bottom w:w="0" w:type="dxa"/>
              <w:right w:w="17" w:type="dxa"/>
            </w:tcMar>
            <w:vAlign w:val="center"/>
          </w:tcPr>
          <w:p w14:paraId="473C961B">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草坪</w:t>
            </w:r>
          </w:p>
        </w:tc>
        <w:tc>
          <w:tcPr>
            <w:tcW w:w="5792" w:type="dxa"/>
            <w:tcMar>
              <w:top w:w="17" w:type="dxa"/>
              <w:left w:w="17" w:type="dxa"/>
              <w:bottom w:w="0" w:type="dxa"/>
              <w:right w:w="17" w:type="dxa"/>
            </w:tcMar>
            <w:vAlign w:val="bottom"/>
          </w:tcPr>
          <w:p w14:paraId="51C74E23">
            <w:pPr>
              <w:rPr>
                <w:rFonts w:ascii="仿宋" w:hAnsi="仿宋" w:eastAsia="仿宋" w:cs="仿宋"/>
                <w:color w:val="auto"/>
                <w:szCs w:val="21"/>
                <w:highlight w:val="none"/>
              </w:rPr>
            </w:pPr>
            <w:r>
              <w:rPr>
                <w:rFonts w:hint="eastAsia" w:ascii="仿宋" w:hAnsi="仿宋" w:eastAsia="仿宋" w:cs="仿宋"/>
                <w:color w:val="auto"/>
                <w:szCs w:val="21"/>
                <w:highlight w:val="none"/>
              </w:rPr>
              <w:t>生长旺盛，叶色浓绿，总体平整、高度在4CM以下</w:t>
            </w:r>
          </w:p>
        </w:tc>
        <w:tc>
          <w:tcPr>
            <w:tcW w:w="1012" w:type="dxa"/>
            <w:vMerge w:val="restart"/>
            <w:vAlign w:val="center"/>
          </w:tcPr>
          <w:p w14:paraId="1BF0F43C">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每出现一次不合格，扣</w:t>
            </w:r>
            <w:r>
              <w:rPr>
                <w:rFonts w:hint="eastAsia" w:ascii="仿宋" w:hAnsi="仿宋" w:eastAsia="仿宋" w:cs="仿宋"/>
                <w:bCs/>
                <w:color w:val="auto"/>
                <w:szCs w:val="21"/>
                <w:highlight w:val="none"/>
              </w:rPr>
              <w:t>0.5</w:t>
            </w:r>
            <w:r>
              <w:rPr>
                <w:rFonts w:hint="eastAsia" w:ascii="仿宋" w:hAnsi="仿宋" w:eastAsia="仿宋" w:cs="仿宋"/>
                <w:color w:val="auto"/>
                <w:szCs w:val="21"/>
                <w:highlight w:val="none"/>
              </w:rPr>
              <w:t>分</w:t>
            </w:r>
          </w:p>
        </w:tc>
      </w:tr>
      <w:tr w14:paraId="272041E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45F546FE">
            <w:pPr>
              <w:jc w:val="center"/>
              <w:rPr>
                <w:rFonts w:ascii="仿宋" w:hAnsi="仿宋" w:eastAsia="仿宋" w:cs="仿宋"/>
                <w:color w:val="auto"/>
                <w:szCs w:val="21"/>
                <w:highlight w:val="none"/>
              </w:rPr>
            </w:pPr>
          </w:p>
        </w:tc>
        <w:tc>
          <w:tcPr>
            <w:tcW w:w="906" w:type="dxa"/>
            <w:vMerge w:val="continue"/>
            <w:vAlign w:val="center"/>
          </w:tcPr>
          <w:p w14:paraId="5A7044B6">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6CC068B2">
            <w:pPr>
              <w:rPr>
                <w:rFonts w:ascii="仿宋" w:hAnsi="仿宋" w:eastAsia="仿宋" w:cs="仿宋"/>
                <w:color w:val="auto"/>
                <w:szCs w:val="21"/>
                <w:highlight w:val="none"/>
              </w:rPr>
            </w:pPr>
            <w:r>
              <w:rPr>
                <w:rFonts w:hint="eastAsia" w:ascii="仿宋" w:hAnsi="仿宋" w:eastAsia="仿宋" w:cs="仿宋"/>
                <w:color w:val="auto"/>
                <w:szCs w:val="21"/>
                <w:highlight w:val="none"/>
              </w:rPr>
              <w:t>草坪覆盖率达98%以上</w:t>
            </w:r>
          </w:p>
        </w:tc>
        <w:tc>
          <w:tcPr>
            <w:tcW w:w="1012" w:type="dxa"/>
            <w:vMerge w:val="continue"/>
            <w:vAlign w:val="center"/>
          </w:tcPr>
          <w:p w14:paraId="637B14BB">
            <w:pPr>
              <w:jc w:val="center"/>
              <w:rPr>
                <w:rFonts w:ascii="仿宋" w:hAnsi="仿宋" w:eastAsia="仿宋" w:cs="仿宋"/>
                <w:color w:val="auto"/>
                <w:szCs w:val="21"/>
                <w:highlight w:val="none"/>
              </w:rPr>
            </w:pPr>
          </w:p>
        </w:tc>
      </w:tr>
      <w:tr w14:paraId="694BBAD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131BF345">
            <w:pPr>
              <w:jc w:val="center"/>
              <w:rPr>
                <w:rFonts w:ascii="仿宋" w:hAnsi="仿宋" w:eastAsia="仿宋" w:cs="仿宋"/>
                <w:color w:val="auto"/>
                <w:szCs w:val="21"/>
                <w:highlight w:val="none"/>
              </w:rPr>
            </w:pPr>
          </w:p>
        </w:tc>
        <w:tc>
          <w:tcPr>
            <w:tcW w:w="906" w:type="dxa"/>
            <w:vMerge w:val="continue"/>
            <w:vAlign w:val="center"/>
          </w:tcPr>
          <w:p w14:paraId="53647B12">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3A8B2CDE">
            <w:pPr>
              <w:rPr>
                <w:rFonts w:ascii="仿宋" w:hAnsi="仿宋" w:eastAsia="仿宋" w:cs="仿宋"/>
                <w:color w:val="auto"/>
                <w:szCs w:val="21"/>
                <w:highlight w:val="none"/>
              </w:rPr>
            </w:pPr>
            <w:r>
              <w:rPr>
                <w:rFonts w:hint="eastAsia" w:ascii="仿宋" w:hAnsi="仿宋" w:eastAsia="仿宋" w:cs="仿宋"/>
                <w:color w:val="auto"/>
                <w:szCs w:val="21"/>
                <w:highlight w:val="none"/>
              </w:rPr>
              <w:t>抽查的草坪范围杂草率低于3%，纯度达97%以上</w:t>
            </w:r>
          </w:p>
        </w:tc>
        <w:tc>
          <w:tcPr>
            <w:tcW w:w="1012" w:type="dxa"/>
            <w:vMerge w:val="continue"/>
            <w:vAlign w:val="center"/>
          </w:tcPr>
          <w:p w14:paraId="0FA1ACA7">
            <w:pPr>
              <w:jc w:val="center"/>
              <w:rPr>
                <w:rFonts w:ascii="仿宋" w:hAnsi="仿宋" w:eastAsia="仿宋" w:cs="仿宋"/>
                <w:color w:val="auto"/>
                <w:szCs w:val="21"/>
                <w:highlight w:val="none"/>
              </w:rPr>
            </w:pPr>
          </w:p>
        </w:tc>
      </w:tr>
      <w:tr w14:paraId="3F39D2C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747E56CF">
            <w:pPr>
              <w:jc w:val="center"/>
              <w:rPr>
                <w:rFonts w:ascii="仿宋" w:hAnsi="仿宋" w:eastAsia="仿宋" w:cs="仿宋"/>
                <w:color w:val="auto"/>
                <w:szCs w:val="21"/>
                <w:highlight w:val="none"/>
              </w:rPr>
            </w:pPr>
          </w:p>
        </w:tc>
        <w:tc>
          <w:tcPr>
            <w:tcW w:w="906" w:type="dxa"/>
            <w:vMerge w:val="continue"/>
            <w:vAlign w:val="center"/>
          </w:tcPr>
          <w:p w14:paraId="1E02F869">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725C4674">
            <w:pPr>
              <w:rPr>
                <w:rFonts w:ascii="仿宋" w:hAnsi="仿宋" w:eastAsia="仿宋" w:cs="仿宋"/>
                <w:color w:val="auto"/>
                <w:szCs w:val="21"/>
                <w:highlight w:val="none"/>
              </w:rPr>
            </w:pPr>
            <w:r>
              <w:rPr>
                <w:rFonts w:hint="eastAsia" w:ascii="仿宋" w:hAnsi="仿宋" w:eastAsia="仿宋" w:cs="仿宋"/>
                <w:color w:val="auto"/>
                <w:szCs w:val="21"/>
                <w:highlight w:val="none"/>
              </w:rPr>
              <w:t>外力破坏后三天内修复</w:t>
            </w:r>
          </w:p>
        </w:tc>
        <w:tc>
          <w:tcPr>
            <w:tcW w:w="1012" w:type="dxa"/>
            <w:vMerge w:val="continue"/>
            <w:vAlign w:val="center"/>
          </w:tcPr>
          <w:p w14:paraId="4AF15703">
            <w:pPr>
              <w:jc w:val="center"/>
              <w:rPr>
                <w:rFonts w:ascii="仿宋" w:hAnsi="仿宋" w:eastAsia="仿宋" w:cs="仿宋"/>
                <w:color w:val="auto"/>
                <w:szCs w:val="21"/>
                <w:highlight w:val="none"/>
              </w:rPr>
            </w:pPr>
          </w:p>
        </w:tc>
      </w:tr>
      <w:tr w14:paraId="627420C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15" w:hRule="atLeast"/>
          <w:jc w:val="center"/>
        </w:trPr>
        <w:tc>
          <w:tcPr>
            <w:tcW w:w="606" w:type="dxa"/>
            <w:vMerge w:val="continue"/>
            <w:vAlign w:val="center"/>
          </w:tcPr>
          <w:p w14:paraId="5C902521">
            <w:pPr>
              <w:jc w:val="center"/>
              <w:rPr>
                <w:rFonts w:ascii="仿宋" w:hAnsi="仿宋" w:eastAsia="仿宋" w:cs="仿宋"/>
                <w:color w:val="auto"/>
                <w:szCs w:val="21"/>
                <w:highlight w:val="none"/>
              </w:rPr>
            </w:pPr>
          </w:p>
        </w:tc>
        <w:tc>
          <w:tcPr>
            <w:tcW w:w="906" w:type="dxa"/>
            <w:vMerge w:val="continue"/>
            <w:vAlign w:val="center"/>
          </w:tcPr>
          <w:p w14:paraId="025B2403">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4E4372C9">
            <w:pPr>
              <w:rPr>
                <w:rFonts w:ascii="仿宋" w:hAnsi="仿宋" w:eastAsia="仿宋" w:cs="仿宋"/>
                <w:color w:val="auto"/>
                <w:szCs w:val="21"/>
                <w:highlight w:val="none"/>
              </w:rPr>
            </w:pPr>
            <w:r>
              <w:rPr>
                <w:rFonts w:hint="eastAsia" w:ascii="仿宋" w:hAnsi="仿宋" w:eastAsia="仿宋" w:cs="仿宋"/>
                <w:color w:val="auto"/>
                <w:szCs w:val="21"/>
                <w:highlight w:val="none"/>
              </w:rPr>
              <w:t>每1000㎡绿地内黄土裸露面积累计不超过2㎡，且每块面积不超过0.5㎡</w:t>
            </w:r>
          </w:p>
        </w:tc>
        <w:tc>
          <w:tcPr>
            <w:tcW w:w="1012" w:type="dxa"/>
            <w:vMerge w:val="continue"/>
            <w:vAlign w:val="center"/>
          </w:tcPr>
          <w:p w14:paraId="00CFC3F5">
            <w:pPr>
              <w:jc w:val="center"/>
              <w:rPr>
                <w:rFonts w:ascii="仿宋" w:hAnsi="仿宋" w:eastAsia="仿宋" w:cs="仿宋"/>
                <w:color w:val="auto"/>
                <w:szCs w:val="21"/>
                <w:highlight w:val="none"/>
              </w:rPr>
            </w:pPr>
          </w:p>
        </w:tc>
      </w:tr>
      <w:tr w14:paraId="091F6DE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1AF34B03">
            <w:pPr>
              <w:jc w:val="center"/>
              <w:rPr>
                <w:rFonts w:ascii="仿宋" w:hAnsi="仿宋" w:eastAsia="仿宋" w:cs="仿宋"/>
                <w:color w:val="auto"/>
                <w:szCs w:val="21"/>
                <w:highlight w:val="none"/>
              </w:rPr>
            </w:pPr>
          </w:p>
        </w:tc>
        <w:tc>
          <w:tcPr>
            <w:tcW w:w="906" w:type="dxa"/>
            <w:vMerge w:val="continue"/>
            <w:tcMar>
              <w:top w:w="17" w:type="dxa"/>
              <w:left w:w="17" w:type="dxa"/>
              <w:bottom w:w="0" w:type="dxa"/>
              <w:right w:w="17" w:type="dxa"/>
            </w:tcMar>
            <w:vAlign w:val="center"/>
          </w:tcPr>
          <w:p w14:paraId="75C23E17">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139EF963">
            <w:pPr>
              <w:rPr>
                <w:rFonts w:ascii="仿宋" w:hAnsi="仿宋" w:eastAsia="仿宋" w:cs="仿宋"/>
                <w:color w:val="auto"/>
                <w:szCs w:val="21"/>
                <w:highlight w:val="none"/>
              </w:rPr>
            </w:pPr>
            <w:r>
              <w:rPr>
                <w:rFonts w:hint="eastAsia" w:ascii="仿宋" w:hAnsi="仿宋" w:eastAsia="仿宋" w:cs="仿宋"/>
                <w:color w:val="auto"/>
                <w:szCs w:val="21"/>
                <w:highlight w:val="none"/>
              </w:rPr>
              <w:t>发现病虫害及进处理，病虫危害率每百平方米不超过3%</w:t>
            </w:r>
          </w:p>
        </w:tc>
        <w:tc>
          <w:tcPr>
            <w:tcW w:w="1012" w:type="dxa"/>
            <w:vMerge w:val="continue"/>
            <w:vAlign w:val="center"/>
          </w:tcPr>
          <w:p w14:paraId="2AAC5E35">
            <w:pPr>
              <w:jc w:val="center"/>
              <w:rPr>
                <w:rFonts w:ascii="仿宋" w:hAnsi="仿宋" w:eastAsia="仿宋" w:cs="仿宋"/>
                <w:color w:val="auto"/>
                <w:szCs w:val="21"/>
                <w:highlight w:val="none"/>
              </w:rPr>
            </w:pPr>
          </w:p>
        </w:tc>
      </w:tr>
      <w:tr w14:paraId="422AF96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13E41DAE">
            <w:pPr>
              <w:jc w:val="center"/>
              <w:rPr>
                <w:rFonts w:ascii="仿宋" w:hAnsi="仿宋" w:eastAsia="仿宋" w:cs="仿宋"/>
                <w:color w:val="auto"/>
                <w:szCs w:val="21"/>
                <w:highlight w:val="none"/>
              </w:rPr>
            </w:pPr>
          </w:p>
        </w:tc>
        <w:tc>
          <w:tcPr>
            <w:tcW w:w="906" w:type="dxa"/>
            <w:vMerge w:val="continue"/>
            <w:tcMar>
              <w:top w:w="17" w:type="dxa"/>
              <w:left w:w="17" w:type="dxa"/>
              <w:bottom w:w="0" w:type="dxa"/>
              <w:right w:w="17" w:type="dxa"/>
            </w:tcMar>
            <w:vAlign w:val="center"/>
          </w:tcPr>
          <w:p w14:paraId="2742BC16">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38DF9B30">
            <w:pPr>
              <w:rPr>
                <w:rFonts w:ascii="仿宋" w:hAnsi="仿宋" w:eastAsia="仿宋" w:cs="仿宋"/>
                <w:color w:val="auto"/>
                <w:szCs w:val="21"/>
                <w:highlight w:val="none"/>
              </w:rPr>
            </w:pPr>
            <w:r>
              <w:rPr>
                <w:rFonts w:hint="eastAsia" w:ascii="仿宋" w:hAnsi="仿宋" w:eastAsia="仿宋" w:cs="仿宋"/>
                <w:color w:val="auto"/>
                <w:szCs w:val="21"/>
                <w:highlight w:val="none"/>
              </w:rPr>
              <w:t>无明显阔叶杂草，草坪杂草率不得超过3%</w:t>
            </w:r>
          </w:p>
        </w:tc>
        <w:tc>
          <w:tcPr>
            <w:tcW w:w="1012" w:type="dxa"/>
            <w:vMerge w:val="continue"/>
            <w:vAlign w:val="center"/>
          </w:tcPr>
          <w:p w14:paraId="23756853">
            <w:pPr>
              <w:jc w:val="center"/>
              <w:rPr>
                <w:rFonts w:ascii="仿宋" w:hAnsi="仿宋" w:eastAsia="仿宋" w:cs="仿宋"/>
                <w:bCs/>
                <w:color w:val="auto"/>
                <w:szCs w:val="21"/>
                <w:highlight w:val="none"/>
              </w:rPr>
            </w:pPr>
          </w:p>
        </w:tc>
      </w:tr>
      <w:tr w14:paraId="36207D1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1019794D">
            <w:pPr>
              <w:jc w:val="center"/>
              <w:rPr>
                <w:rFonts w:ascii="仿宋" w:hAnsi="仿宋" w:eastAsia="仿宋" w:cs="仿宋"/>
                <w:color w:val="auto"/>
                <w:szCs w:val="21"/>
                <w:highlight w:val="none"/>
              </w:rPr>
            </w:pPr>
          </w:p>
        </w:tc>
        <w:tc>
          <w:tcPr>
            <w:tcW w:w="906" w:type="dxa"/>
            <w:vMerge w:val="continue"/>
            <w:tcMar>
              <w:top w:w="17" w:type="dxa"/>
              <w:left w:w="17" w:type="dxa"/>
              <w:bottom w:w="0" w:type="dxa"/>
              <w:right w:w="17" w:type="dxa"/>
            </w:tcMar>
            <w:vAlign w:val="center"/>
          </w:tcPr>
          <w:p w14:paraId="47C46D2F">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2A85F566">
            <w:pPr>
              <w:rPr>
                <w:rFonts w:ascii="仿宋" w:hAnsi="仿宋" w:eastAsia="仿宋" w:cs="仿宋"/>
                <w:color w:val="auto"/>
                <w:szCs w:val="21"/>
                <w:highlight w:val="none"/>
              </w:rPr>
            </w:pPr>
            <w:r>
              <w:rPr>
                <w:rFonts w:hint="eastAsia" w:ascii="仿宋" w:hAnsi="仿宋" w:eastAsia="仿宋" w:cs="仿宋"/>
                <w:color w:val="auto"/>
                <w:szCs w:val="21"/>
                <w:highlight w:val="none"/>
              </w:rPr>
              <w:t>草地平整，不坑洼、鼠洞，无尖锐突出物，草地里的各类线管不外露，对老化或凸起的草坪进行疏草处理</w:t>
            </w:r>
          </w:p>
        </w:tc>
        <w:tc>
          <w:tcPr>
            <w:tcW w:w="1012" w:type="dxa"/>
            <w:vMerge w:val="continue"/>
            <w:vAlign w:val="center"/>
          </w:tcPr>
          <w:p w14:paraId="0157FC41">
            <w:pPr>
              <w:jc w:val="center"/>
              <w:rPr>
                <w:rFonts w:ascii="仿宋" w:hAnsi="仿宋" w:eastAsia="仿宋" w:cs="仿宋"/>
                <w:bCs/>
                <w:color w:val="auto"/>
                <w:szCs w:val="21"/>
                <w:highlight w:val="none"/>
              </w:rPr>
            </w:pPr>
          </w:p>
        </w:tc>
      </w:tr>
      <w:tr w14:paraId="76018BD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38B446B7">
            <w:pPr>
              <w:jc w:val="center"/>
              <w:rPr>
                <w:rFonts w:ascii="仿宋" w:hAnsi="仿宋" w:eastAsia="仿宋" w:cs="仿宋"/>
                <w:color w:val="auto"/>
                <w:szCs w:val="21"/>
                <w:highlight w:val="none"/>
              </w:rPr>
            </w:pPr>
          </w:p>
        </w:tc>
        <w:tc>
          <w:tcPr>
            <w:tcW w:w="906" w:type="dxa"/>
            <w:vMerge w:val="continue"/>
            <w:tcMar>
              <w:top w:w="17" w:type="dxa"/>
              <w:left w:w="17" w:type="dxa"/>
              <w:bottom w:w="0" w:type="dxa"/>
              <w:right w:w="17" w:type="dxa"/>
            </w:tcMar>
            <w:vAlign w:val="center"/>
          </w:tcPr>
          <w:p w14:paraId="3860E4DF">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2E562F37">
            <w:pPr>
              <w:rPr>
                <w:rFonts w:ascii="仿宋" w:hAnsi="仿宋" w:eastAsia="仿宋" w:cs="仿宋"/>
                <w:color w:val="auto"/>
                <w:szCs w:val="21"/>
                <w:highlight w:val="none"/>
              </w:rPr>
            </w:pPr>
            <w:r>
              <w:rPr>
                <w:rFonts w:hint="eastAsia" w:ascii="仿宋" w:hAnsi="仿宋" w:eastAsia="仿宋" w:cs="仿宋"/>
                <w:color w:val="auto"/>
                <w:szCs w:val="21"/>
                <w:highlight w:val="none"/>
              </w:rPr>
              <w:t>使草坪保持适量水份，无萎蔫情况；</w:t>
            </w:r>
          </w:p>
        </w:tc>
        <w:tc>
          <w:tcPr>
            <w:tcW w:w="1012" w:type="dxa"/>
            <w:vMerge w:val="continue"/>
            <w:vAlign w:val="center"/>
          </w:tcPr>
          <w:p w14:paraId="6B7239D8">
            <w:pPr>
              <w:jc w:val="center"/>
              <w:rPr>
                <w:rFonts w:ascii="仿宋" w:hAnsi="仿宋" w:eastAsia="仿宋" w:cs="仿宋"/>
                <w:bCs/>
                <w:color w:val="auto"/>
                <w:szCs w:val="21"/>
                <w:highlight w:val="none"/>
              </w:rPr>
            </w:pPr>
          </w:p>
        </w:tc>
      </w:tr>
      <w:tr w14:paraId="49B42A0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3812483D">
            <w:pPr>
              <w:jc w:val="center"/>
              <w:rPr>
                <w:rFonts w:ascii="仿宋" w:hAnsi="仿宋" w:eastAsia="仿宋" w:cs="仿宋"/>
                <w:color w:val="auto"/>
                <w:szCs w:val="21"/>
                <w:highlight w:val="none"/>
              </w:rPr>
            </w:pPr>
          </w:p>
        </w:tc>
        <w:tc>
          <w:tcPr>
            <w:tcW w:w="906" w:type="dxa"/>
            <w:vMerge w:val="continue"/>
            <w:tcMar>
              <w:top w:w="17" w:type="dxa"/>
              <w:left w:w="17" w:type="dxa"/>
              <w:bottom w:w="0" w:type="dxa"/>
              <w:right w:w="17" w:type="dxa"/>
            </w:tcMar>
            <w:vAlign w:val="center"/>
          </w:tcPr>
          <w:p w14:paraId="67226FA8">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5DA53594">
            <w:pPr>
              <w:rPr>
                <w:rFonts w:ascii="仿宋" w:hAnsi="仿宋" w:eastAsia="仿宋" w:cs="仿宋"/>
                <w:color w:val="auto"/>
                <w:szCs w:val="21"/>
                <w:highlight w:val="none"/>
              </w:rPr>
            </w:pPr>
            <w:r>
              <w:rPr>
                <w:rFonts w:hint="eastAsia" w:ascii="仿宋" w:hAnsi="仿宋" w:eastAsia="仿宋" w:cs="仿宋"/>
                <w:color w:val="auto"/>
                <w:szCs w:val="21"/>
                <w:highlight w:val="none"/>
              </w:rPr>
              <w:t>草边修剪整齐，边缘交界处清晰平滑，界线分明，不长到路芽、花丛处</w:t>
            </w:r>
          </w:p>
        </w:tc>
        <w:tc>
          <w:tcPr>
            <w:tcW w:w="1012" w:type="dxa"/>
            <w:vMerge w:val="continue"/>
            <w:vAlign w:val="center"/>
          </w:tcPr>
          <w:p w14:paraId="54CAF21B">
            <w:pPr>
              <w:jc w:val="center"/>
              <w:rPr>
                <w:rFonts w:ascii="仿宋" w:hAnsi="仿宋" w:eastAsia="仿宋" w:cs="仿宋"/>
                <w:color w:val="auto"/>
                <w:szCs w:val="21"/>
                <w:highlight w:val="none"/>
              </w:rPr>
            </w:pPr>
          </w:p>
        </w:tc>
      </w:tr>
      <w:tr w14:paraId="40B509B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17EBF68F">
            <w:pPr>
              <w:jc w:val="center"/>
              <w:rPr>
                <w:rFonts w:ascii="仿宋" w:hAnsi="仿宋" w:eastAsia="仿宋" w:cs="仿宋"/>
                <w:color w:val="auto"/>
                <w:szCs w:val="21"/>
                <w:highlight w:val="none"/>
              </w:rPr>
            </w:pPr>
          </w:p>
        </w:tc>
        <w:tc>
          <w:tcPr>
            <w:tcW w:w="906" w:type="dxa"/>
            <w:vMerge w:val="restart"/>
            <w:tcMar>
              <w:top w:w="17" w:type="dxa"/>
              <w:left w:w="17" w:type="dxa"/>
              <w:bottom w:w="0" w:type="dxa"/>
              <w:right w:w="17" w:type="dxa"/>
            </w:tcMar>
            <w:vAlign w:val="center"/>
          </w:tcPr>
          <w:p w14:paraId="5C532B39">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总体</w:t>
            </w:r>
          </w:p>
        </w:tc>
        <w:tc>
          <w:tcPr>
            <w:tcW w:w="5792" w:type="dxa"/>
            <w:tcMar>
              <w:top w:w="17" w:type="dxa"/>
              <w:left w:w="17" w:type="dxa"/>
              <w:bottom w:w="0" w:type="dxa"/>
              <w:right w:w="17" w:type="dxa"/>
            </w:tcMar>
            <w:vAlign w:val="bottom"/>
          </w:tcPr>
          <w:p w14:paraId="2B7D89F0">
            <w:pPr>
              <w:rPr>
                <w:rFonts w:ascii="仿宋" w:hAnsi="仿宋" w:eastAsia="仿宋" w:cs="仿宋"/>
                <w:color w:val="auto"/>
                <w:szCs w:val="21"/>
                <w:highlight w:val="none"/>
              </w:rPr>
            </w:pPr>
            <w:r>
              <w:rPr>
                <w:rFonts w:hint="eastAsia" w:ascii="仿宋" w:hAnsi="仿宋" w:eastAsia="仿宋" w:cs="仿宋"/>
                <w:color w:val="auto"/>
                <w:szCs w:val="21"/>
                <w:highlight w:val="none"/>
              </w:rPr>
              <w:t>无缺水，缺肥，无黄土裸露</w:t>
            </w:r>
          </w:p>
        </w:tc>
        <w:tc>
          <w:tcPr>
            <w:tcW w:w="1012" w:type="dxa"/>
            <w:vMerge w:val="restart"/>
            <w:vAlign w:val="center"/>
          </w:tcPr>
          <w:p w14:paraId="54B685CB">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每出现一次不合格，扣</w:t>
            </w:r>
            <w:r>
              <w:rPr>
                <w:rFonts w:hint="eastAsia" w:ascii="仿宋" w:hAnsi="仿宋" w:eastAsia="仿宋" w:cs="仿宋"/>
                <w:bCs/>
                <w:color w:val="auto"/>
                <w:szCs w:val="21"/>
                <w:highlight w:val="none"/>
              </w:rPr>
              <w:t>0.5</w:t>
            </w:r>
            <w:r>
              <w:rPr>
                <w:rFonts w:hint="eastAsia" w:ascii="仿宋" w:hAnsi="仿宋" w:eastAsia="仿宋" w:cs="仿宋"/>
                <w:color w:val="auto"/>
                <w:szCs w:val="21"/>
                <w:highlight w:val="none"/>
              </w:rPr>
              <w:t>分</w:t>
            </w:r>
          </w:p>
        </w:tc>
      </w:tr>
      <w:tr w14:paraId="47D07DB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66D062C8">
            <w:pPr>
              <w:jc w:val="center"/>
              <w:rPr>
                <w:rFonts w:ascii="仿宋" w:hAnsi="仿宋" w:eastAsia="仿宋" w:cs="仿宋"/>
                <w:color w:val="auto"/>
                <w:szCs w:val="21"/>
                <w:highlight w:val="none"/>
              </w:rPr>
            </w:pPr>
          </w:p>
        </w:tc>
        <w:tc>
          <w:tcPr>
            <w:tcW w:w="906" w:type="dxa"/>
            <w:vMerge w:val="continue"/>
            <w:vAlign w:val="center"/>
          </w:tcPr>
          <w:p w14:paraId="55CB1E05">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2E1A347B">
            <w:pPr>
              <w:rPr>
                <w:rFonts w:ascii="仿宋" w:hAnsi="仿宋" w:eastAsia="仿宋" w:cs="仿宋"/>
                <w:color w:val="auto"/>
                <w:szCs w:val="21"/>
                <w:highlight w:val="none"/>
              </w:rPr>
            </w:pPr>
            <w:r>
              <w:rPr>
                <w:rFonts w:hint="eastAsia" w:ascii="仿宋" w:hAnsi="仿宋" w:eastAsia="仿宋" w:cs="仿宋"/>
                <w:color w:val="auto"/>
                <w:szCs w:val="21"/>
                <w:highlight w:val="none"/>
              </w:rPr>
              <w:t>绿篱、花丛内无垃圾、无石块、无枯枝枯叶</w:t>
            </w:r>
          </w:p>
        </w:tc>
        <w:tc>
          <w:tcPr>
            <w:tcW w:w="1012" w:type="dxa"/>
            <w:vMerge w:val="continue"/>
            <w:vAlign w:val="center"/>
          </w:tcPr>
          <w:p w14:paraId="2D310845">
            <w:pPr>
              <w:jc w:val="center"/>
              <w:rPr>
                <w:rFonts w:ascii="仿宋" w:hAnsi="仿宋" w:eastAsia="仿宋" w:cs="仿宋"/>
                <w:color w:val="auto"/>
                <w:szCs w:val="21"/>
                <w:highlight w:val="none"/>
              </w:rPr>
            </w:pPr>
          </w:p>
        </w:tc>
      </w:tr>
      <w:tr w14:paraId="3060266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7AD5B4B0">
            <w:pPr>
              <w:jc w:val="center"/>
              <w:rPr>
                <w:rFonts w:ascii="仿宋" w:hAnsi="仿宋" w:eastAsia="仿宋" w:cs="仿宋"/>
                <w:color w:val="auto"/>
                <w:szCs w:val="21"/>
                <w:highlight w:val="none"/>
              </w:rPr>
            </w:pPr>
          </w:p>
        </w:tc>
        <w:tc>
          <w:tcPr>
            <w:tcW w:w="906" w:type="dxa"/>
            <w:vMerge w:val="continue"/>
            <w:vAlign w:val="center"/>
          </w:tcPr>
          <w:p w14:paraId="6BD99043">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0F85A7E1">
            <w:pPr>
              <w:rPr>
                <w:rFonts w:ascii="仿宋" w:hAnsi="仿宋" w:eastAsia="仿宋" w:cs="仿宋"/>
                <w:color w:val="auto"/>
                <w:szCs w:val="21"/>
                <w:highlight w:val="none"/>
              </w:rPr>
            </w:pPr>
            <w:r>
              <w:rPr>
                <w:rFonts w:hint="eastAsia" w:ascii="仿宋" w:hAnsi="仿宋" w:eastAsia="仿宋" w:cs="仿宋"/>
                <w:color w:val="auto"/>
                <w:szCs w:val="21"/>
                <w:highlight w:val="none"/>
              </w:rPr>
              <w:t>绿化作业应作到工完场清，绿化垃圾及时清收，不隔夜存放</w:t>
            </w:r>
          </w:p>
        </w:tc>
        <w:tc>
          <w:tcPr>
            <w:tcW w:w="1012" w:type="dxa"/>
            <w:vMerge w:val="continue"/>
            <w:vAlign w:val="center"/>
          </w:tcPr>
          <w:p w14:paraId="0D2F57CC">
            <w:pPr>
              <w:jc w:val="center"/>
              <w:rPr>
                <w:rFonts w:ascii="仿宋" w:hAnsi="仿宋" w:eastAsia="仿宋" w:cs="仿宋"/>
                <w:color w:val="auto"/>
                <w:szCs w:val="21"/>
                <w:highlight w:val="none"/>
              </w:rPr>
            </w:pPr>
          </w:p>
        </w:tc>
      </w:tr>
      <w:tr w14:paraId="29A5053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5AB3F854">
            <w:pPr>
              <w:jc w:val="center"/>
              <w:rPr>
                <w:rFonts w:ascii="仿宋" w:hAnsi="仿宋" w:eastAsia="仿宋" w:cs="仿宋"/>
                <w:color w:val="auto"/>
                <w:szCs w:val="21"/>
                <w:highlight w:val="none"/>
              </w:rPr>
            </w:pPr>
          </w:p>
        </w:tc>
        <w:tc>
          <w:tcPr>
            <w:tcW w:w="906" w:type="dxa"/>
            <w:vMerge w:val="continue"/>
            <w:vAlign w:val="center"/>
          </w:tcPr>
          <w:p w14:paraId="14FB119E">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7A119AA7">
            <w:pPr>
              <w:rPr>
                <w:rFonts w:ascii="仿宋" w:hAnsi="仿宋" w:eastAsia="仿宋" w:cs="仿宋"/>
                <w:color w:val="auto"/>
                <w:szCs w:val="21"/>
                <w:highlight w:val="none"/>
              </w:rPr>
            </w:pPr>
            <w:r>
              <w:rPr>
                <w:rFonts w:hint="eastAsia" w:ascii="仿宋" w:hAnsi="仿宋" w:eastAsia="仿宋" w:cs="仿宋"/>
                <w:color w:val="auto"/>
                <w:szCs w:val="21"/>
                <w:highlight w:val="none"/>
              </w:rPr>
              <w:t>重要部位叶片无明显灰尘</w:t>
            </w:r>
          </w:p>
        </w:tc>
        <w:tc>
          <w:tcPr>
            <w:tcW w:w="1012" w:type="dxa"/>
            <w:vMerge w:val="continue"/>
            <w:vAlign w:val="center"/>
          </w:tcPr>
          <w:p w14:paraId="0E1E6781">
            <w:pPr>
              <w:jc w:val="center"/>
              <w:rPr>
                <w:rFonts w:ascii="仿宋" w:hAnsi="仿宋" w:eastAsia="仿宋" w:cs="仿宋"/>
                <w:color w:val="auto"/>
                <w:szCs w:val="21"/>
                <w:highlight w:val="none"/>
              </w:rPr>
            </w:pPr>
          </w:p>
        </w:tc>
      </w:tr>
      <w:tr w14:paraId="65ED5EC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21CE0D08">
            <w:pPr>
              <w:jc w:val="center"/>
              <w:rPr>
                <w:rFonts w:ascii="仿宋" w:hAnsi="仿宋" w:eastAsia="仿宋" w:cs="仿宋"/>
                <w:color w:val="auto"/>
                <w:szCs w:val="21"/>
                <w:highlight w:val="none"/>
              </w:rPr>
            </w:pPr>
          </w:p>
        </w:tc>
        <w:tc>
          <w:tcPr>
            <w:tcW w:w="906" w:type="dxa"/>
            <w:vMerge w:val="continue"/>
            <w:vAlign w:val="center"/>
          </w:tcPr>
          <w:p w14:paraId="50BFA00E">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467ED8E7">
            <w:pPr>
              <w:rPr>
                <w:rFonts w:ascii="仿宋" w:hAnsi="仿宋" w:eastAsia="仿宋" w:cs="仿宋"/>
                <w:color w:val="auto"/>
                <w:szCs w:val="21"/>
                <w:highlight w:val="none"/>
              </w:rPr>
            </w:pPr>
            <w:r>
              <w:rPr>
                <w:rFonts w:hint="eastAsia" w:ascii="仿宋" w:hAnsi="仿宋" w:eastAsia="仿宋" w:cs="仿宋"/>
                <w:color w:val="auto"/>
                <w:szCs w:val="21"/>
                <w:highlight w:val="none"/>
              </w:rPr>
              <w:t>绿化消杀不使用国家禁止类剧毒农药</w:t>
            </w:r>
          </w:p>
        </w:tc>
        <w:tc>
          <w:tcPr>
            <w:tcW w:w="1012" w:type="dxa"/>
            <w:vMerge w:val="continue"/>
            <w:vAlign w:val="center"/>
          </w:tcPr>
          <w:p w14:paraId="4C332F19">
            <w:pPr>
              <w:jc w:val="center"/>
              <w:rPr>
                <w:rFonts w:ascii="仿宋" w:hAnsi="仿宋" w:eastAsia="仿宋" w:cs="仿宋"/>
                <w:color w:val="auto"/>
                <w:szCs w:val="21"/>
                <w:highlight w:val="none"/>
              </w:rPr>
            </w:pPr>
          </w:p>
        </w:tc>
      </w:tr>
      <w:tr w14:paraId="7DE12C2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761A45E8">
            <w:pPr>
              <w:jc w:val="center"/>
              <w:rPr>
                <w:rFonts w:ascii="仿宋" w:hAnsi="仿宋" w:eastAsia="仿宋" w:cs="仿宋"/>
                <w:color w:val="auto"/>
                <w:szCs w:val="21"/>
                <w:highlight w:val="none"/>
              </w:rPr>
            </w:pPr>
          </w:p>
        </w:tc>
        <w:tc>
          <w:tcPr>
            <w:tcW w:w="906" w:type="dxa"/>
            <w:vMerge w:val="continue"/>
            <w:vAlign w:val="center"/>
          </w:tcPr>
          <w:p w14:paraId="5B7509DE">
            <w:pPr>
              <w:jc w:val="center"/>
              <w:rPr>
                <w:rFonts w:ascii="仿宋" w:hAnsi="仿宋" w:eastAsia="仿宋" w:cs="仿宋"/>
                <w:color w:val="auto"/>
                <w:szCs w:val="21"/>
                <w:highlight w:val="none"/>
              </w:rPr>
            </w:pPr>
          </w:p>
        </w:tc>
        <w:tc>
          <w:tcPr>
            <w:tcW w:w="5792" w:type="dxa"/>
            <w:tcMar>
              <w:top w:w="17" w:type="dxa"/>
              <w:left w:w="17" w:type="dxa"/>
              <w:bottom w:w="0" w:type="dxa"/>
              <w:right w:w="17" w:type="dxa"/>
            </w:tcMar>
          </w:tcPr>
          <w:p w14:paraId="52A4679B">
            <w:pPr>
              <w:rPr>
                <w:rFonts w:ascii="仿宋" w:hAnsi="仿宋" w:eastAsia="仿宋" w:cs="仿宋"/>
                <w:color w:val="auto"/>
                <w:szCs w:val="21"/>
                <w:highlight w:val="none"/>
              </w:rPr>
            </w:pPr>
            <w:r>
              <w:rPr>
                <w:rFonts w:hint="eastAsia" w:ascii="仿宋" w:hAnsi="仿宋" w:eastAsia="仿宋" w:cs="仿宋"/>
                <w:color w:val="auto"/>
                <w:szCs w:val="21"/>
                <w:highlight w:val="none"/>
              </w:rPr>
              <w:t>在进行机械作业时，作业人员佩戴好防护用品，有现场作业标识；作业时间不影响业主的正常生活</w:t>
            </w:r>
          </w:p>
        </w:tc>
        <w:tc>
          <w:tcPr>
            <w:tcW w:w="1012" w:type="dxa"/>
            <w:vMerge w:val="continue"/>
            <w:vAlign w:val="center"/>
          </w:tcPr>
          <w:p w14:paraId="0DF031EC">
            <w:pPr>
              <w:jc w:val="center"/>
              <w:rPr>
                <w:rFonts w:ascii="仿宋" w:hAnsi="仿宋" w:eastAsia="仿宋" w:cs="仿宋"/>
                <w:bCs/>
                <w:color w:val="auto"/>
                <w:szCs w:val="21"/>
                <w:highlight w:val="none"/>
              </w:rPr>
            </w:pPr>
          </w:p>
        </w:tc>
      </w:tr>
      <w:tr w14:paraId="3FE8260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3E53AC8C">
            <w:pPr>
              <w:jc w:val="center"/>
              <w:rPr>
                <w:rFonts w:ascii="仿宋" w:hAnsi="仿宋" w:eastAsia="仿宋" w:cs="仿宋"/>
                <w:color w:val="auto"/>
                <w:szCs w:val="21"/>
                <w:highlight w:val="none"/>
              </w:rPr>
            </w:pPr>
          </w:p>
        </w:tc>
        <w:tc>
          <w:tcPr>
            <w:tcW w:w="906" w:type="dxa"/>
            <w:vMerge w:val="continue"/>
            <w:vAlign w:val="center"/>
          </w:tcPr>
          <w:p w14:paraId="08E502D1">
            <w:pPr>
              <w:jc w:val="center"/>
              <w:rPr>
                <w:rFonts w:ascii="仿宋" w:hAnsi="仿宋" w:eastAsia="仿宋" w:cs="仿宋"/>
                <w:color w:val="auto"/>
                <w:szCs w:val="21"/>
                <w:highlight w:val="none"/>
              </w:rPr>
            </w:pPr>
          </w:p>
        </w:tc>
        <w:tc>
          <w:tcPr>
            <w:tcW w:w="5792" w:type="dxa"/>
            <w:tcMar>
              <w:top w:w="17" w:type="dxa"/>
              <w:left w:w="17" w:type="dxa"/>
              <w:bottom w:w="0" w:type="dxa"/>
              <w:right w:w="17" w:type="dxa"/>
            </w:tcMar>
          </w:tcPr>
          <w:p w14:paraId="27CE1F6B">
            <w:pPr>
              <w:rPr>
                <w:rFonts w:ascii="仿宋" w:hAnsi="仿宋" w:eastAsia="仿宋" w:cs="仿宋"/>
                <w:color w:val="auto"/>
                <w:szCs w:val="21"/>
                <w:highlight w:val="none"/>
              </w:rPr>
            </w:pPr>
            <w:r>
              <w:rPr>
                <w:rFonts w:hint="eastAsia" w:ascii="仿宋" w:hAnsi="仿宋" w:eastAsia="仿宋" w:cs="仿宋"/>
                <w:color w:val="auto"/>
                <w:szCs w:val="21"/>
                <w:highlight w:val="none"/>
              </w:rPr>
              <w:t>绿化作业工完清场，绿化垃圾及时清理到指定的垃圾中转站，不隔夜存放</w:t>
            </w:r>
          </w:p>
        </w:tc>
        <w:tc>
          <w:tcPr>
            <w:tcW w:w="1012" w:type="dxa"/>
            <w:vMerge w:val="continue"/>
            <w:vAlign w:val="center"/>
          </w:tcPr>
          <w:p w14:paraId="106E9F41">
            <w:pPr>
              <w:jc w:val="center"/>
              <w:rPr>
                <w:rFonts w:ascii="仿宋" w:hAnsi="仿宋" w:eastAsia="仿宋" w:cs="仿宋"/>
                <w:bCs/>
                <w:color w:val="auto"/>
                <w:szCs w:val="21"/>
                <w:highlight w:val="none"/>
              </w:rPr>
            </w:pPr>
          </w:p>
        </w:tc>
      </w:tr>
      <w:tr w14:paraId="2E59104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3AC4AFEF">
            <w:pPr>
              <w:jc w:val="center"/>
              <w:rPr>
                <w:rFonts w:ascii="仿宋" w:hAnsi="仿宋" w:eastAsia="仿宋" w:cs="仿宋"/>
                <w:color w:val="auto"/>
                <w:szCs w:val="21"/>
                <w:highlight w:val="none"/>
              </w:rPr>
            </w:pPr>
          </w:p>
        </w:tc>
        <w:tc>
          <w:tcPr>
            <w:tcW w:w="906" w:type="dxa"/>
            <w:vMerge w:val="continue"/>
            <w:vAlign w:val="center"/>
          </w:tcPr>
          <w:p w14:paraId="5DC8F714">
            <w:pPr>
              <w:jc w:val="center"/>
              <w:rPr>
                <w:rFonts w:ascii="仿宋" w:hAnsi="仿宋" w:eastAsia="仿宋" w:cs="仿宋"/>
                <w:color w:val="auto"/>
                <w:szCs w:val="21"/>
                <w:highlight w:val="none"/>
              </w:rPr>
            </w:pPr>
          </w:p>
        </w:tc>
        <w:tc>
          <w:tcPr>
            <w:tcW w:w="5792" w:type="dxa"/>
            <w:tcMar>
              <w:top w:w="17" w:type="dxa"/>
              <w:left w:w="17" w:type="dxa"/>
              <w:bottom w:w="0" w:type="dxa"/>
              <w:right w:w="17" w:type="dxa"/>
            </w:tcMar>
          </w:tcPr>
          <w:p w14:paraId="69CEA73A">
            <w:pPr>
              <w:rPr>
                <w:rFonts w:ascii="仿宋" w:hAnsi="仿宋" w:eastAsia="仿宋" w:cs="仿宋"/>
                <w:color w:val="auto"/>
                <w:szCs w:val="21"/>
                <w:highlight w:val="none"/>
              </w:rPr>
            </w:pPr>
            <w:r>
              <w:rPr>
                <w:rFonts w:hint="eastAsia" w:ascii="仿宋" w:hAnsi="仿宋" w:eastAsia="仿宋" w:cs="仿宋"/>
                <w:color w:val="auto"/>
                <w:szCs w:val="21"/>
                <w:highlight w:val="none"/>
              </w:rPr>
              <w:t>现场作业绿化工具、水管摆放整齐，不影响正常通行</w:t>
            </w:r>
          </w:p>
        </w:tc>
        <w:tc>
          <w:tcPr>
            <w:tcW w:w="1012" w:type="dxa"/>
            <w:vMerge w:val="continue"/>
            <w:vAlign w:val="center"/>
          </w:tcPr>
          <w:p w14:paraId="7B374B0C">
            <w:pPr>
              <w:jc w:val="center"/>
              <w:rPr>
                <w:rFonts w:ascii="仿宋" w:hAnsi="仿宋" w:eastAsia="仿宋" w:cs="仿宋"/>
                <w:bCs/>
                <w:color w:val="auto"/>
                <w:szCs w:val="21"/>
                <w:highlight w:val="none"/>
              </w:rPr>
            </w:pPr>
          </w:p>
        </w:tc>
      </w:tr>
      <w:tr w14:paraId="6DE7D1A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5D8E9841">
            <w:pPr>
              <w:jc w:val="center"/>
              <w:rPr>
                <w:rFonts w:ascii="仿宋" w:hAnsi="仿宋" w:eastAsia="仿宋" w:cs="仿宋"/>
                <w:color w:val="auto"/>
                <w:szCs w:val="21"/>
                <w:highlight w:val="none"/>
              </w:rPr>
            </w:pPr>
          </w:p>
        </w:tc>
        <w:tc>
          <w:tcPr>
            <w:tcW w:w="906" w:type="dxa"/>
            <w:vMerge w:val="continue"/>
            <w:vAlign w:val="center"/>
          </w:tcPr>
          <w:p w14:paraId="44977527">
            <w:pPr>
              <w:jc w:val="center"/>
              <w:rPr>
                <w:rFonts w:ascii="仿宋" w:hAnsi="仿宋" w:eastAsia="仿宋" w:cs="仿宋"/>
                <w:color w:val="auto"/>
                <w:szCs w:val="21"/>
                <w:highlight w:val="none"/>
              </w:rPr>
            </w:pPr>
          </w:p>
        </w:tc>
        <w:tc>
          <w:tcPr>
            <w:tcW w:w="5792" w:type="dxa"/>
            <w:tcMar>
              <w:top w:w="17" w:type="dxa"/>
              <w:left w:w="17" w:type="dxa"/>
              <w:bottom w:w="0" w:type="dxa"/>
              <w:right w:w="17" w:type="dxa"/>
            </w:tcMar>
          </w:tcPr>
          <w:p w14:paraId="5F61B4EC">
            <w:pPr>
              <w:rPr>
                <w:rFonts w:ascii="仿宋" w:hAnsi="仿宋" w:eastAsia="仿宋" w:cs="仿宋"/>
                <w:color w:val="auto"/>
                <w:szCs w:val="21"/>
                <w:highlight w:val="none"/>
              </w:rPr>
            </w:pPr>
            <w:r>
              <w:rPr>
                <w:rFonts w:hint="eastAsia" w:ascii="仿宋" w:hAnsi="仿宋" w:eastAsia="仿宋" w:cs="仿宋"/>
                <w:color w:val="auto"/>
                <w:szCs w:val="21"/>
                <w:highlight w:val="none"/>
              </w:rPr>
              <w:t>重要部位的树叶上无明显的灰尘</w:t>
            </w:r>
          </w:p>
        </w:tc>
        <w:tc>
          <w:tcPr>
            <w:tcW w:w="1012" w:type="dxa"/>
            <w:vMerge w:val="continue"/>
            <w:vAlign w:val="center"/>
          </w:tcPr>
          <w:p w14:paraId="2EE1D09A">
            <w:pPr>
              <w:jc w:val="center"/>
              <w:rPr>
                <w:rFonts w:ascii="仿宋" w:hAnsi="仿宋" w:eastAsia="仿宋" w:cs="仿宋"/>
                <w:bCs/>
                <w:color w:val="auto"/>
                <w:szCs w:val="21"/>
                <w:highlight w:val="none"/>
              </w:rPr>
            </w:pPr>
          </w:p>
        </w:tc>
      </w:tr>
      <w:tr w14:paraId="4B4BB86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19CC078E">
            <w:pPr>
              <w:jc w:val="center"/>
              <w:rPr>
                <w:rFonts w:ascii="仿宋" w:hAnsi="仿宋" w:eastAsia="仿宋" w:cs="仿宋"/>
                <w:color w:val="auto"/>
                <w:szCs w:val="21"/>
                <w:highlight w:val="none"/>
              </w:rPr>
            </w:pPr>
          </w:p>
        </w:tc>
        <w:tc>
          <w:tcPr>
            <w:tcW w:w="906" w:type="dxa"/>
            <w:vMerge w:val="continue"/>
            <w:vAlign w:val="center"/>
          </w:tcPr>
          <w:p w14:paraId="678E9578">
            <w:pPr>
              <w:jc w:val="center"/>
              <w:rPr>
                <w:rFonts w:ascii="仿宋" w:hAnsi="仿宋" w:eastAsia="仿宋" w:cs="仿宋"/>
                <w:color w:val="auto"/>
                <w:szCs w:val="21"/>
                <w:highlight w:val="none"/>
              </w:rPr>
            </w:pPr>
          </w:p>
        </w:tc>
        <w:tc>
          <w:tcPr>
            <w:tcW w:w="5792" w:type="dxa"/>
            <w:tcMar>
              <w:top w:w="17" w:type="dxa"/>
              <w:left w:w="17" w:type="dxa"/>
              <w:bottom w:w="0" w:type="dxa"/>
              <w:right w:w="17" w:type="dxa"/>
            </w:tcMar>
          </w:tcPr>
          <w:p w14:paraId="25A00907">
            <w:pPr>
              <w:rPr>
                <w:rFonts w:ascii="仿宋" w:hAnsi="仿宋" w:eastAsia="仿宋" w:cs="仿宋"/>
                <w:color w:val="auto"/>
                <w:szCs w:val="21"/>
                <w:highlight w:val="none"/>
              </w:rPr>
            </w:pPr>
            <w:r>
              <w:rPr>
                <w:rFonts w:hint="eastAsia" w:ascii="仿宋" w:hAnsi="仿宋" w:eastAsia="仿宋" w:cs="仿宋"/>
                <w:color w:val="auto"/>
                <w:szCs w:val="21"/>
                <w:highlight w:val="none"/>
              </w:rPr>
              <w:t>节约用水，水笼头及时关闭、水管无明显破损漏水、无长流水</w:t>
            </w:r>
          </w:p>
        </w:tc>
        <w:tc>
          <w:tcPr>
            <w:tcW w:w="1012" w:type="dxa"/>
            <w:vMerge w:val="continue"/>
            <w:vAlign w:val="center"/>
          </w:tcPr>
          <w:p w14:paraId="75BA90CE">
            <w:pPr>
              <w:jc w:val="center"/>
              <w:rPr>
                <w:rFonts w:ascii="仿宋" w:hAnsi="仿宋" w:eastAsia="仿宋" w:cs="仿宋"/>
                <w:bCs/>
                <w:color w:val="auto"/>
                <w:szCs w:val="21"/>
                <w:highlight w:val="none"/>
              </w:rPr>
            </w:pPr>
          </w:p>
        </w:tc>
      </w:tr>
      <w:tr w14:paraId="4770F41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13D2136C">
            <w:pPr>
              <w:jc w:val="center"/>
              <w:rPr>
                <w:rFonts w:ascii="仿宋" w:hAnsi="仿宋" w:eastAsia="仿宋" w:cs="仿宋"/>
                <w:color w:val="auto"/>
                <w:szCs w:val="21"/>
                <w:highlight w:val="none"/>
              </w:rPr>
            </w:pPr>
          </w:p>
        </w:tc>
        <w:tc>
          <w:tcPr>
            <w:tcW w:w="906" w:type="dxa"/>
            <w:vMerge w:val="continue"/>
            <w:vAlign w:val="center"/>
          </w:tcPr>
          <w:p w14:paraId="04CBD2B5">
            <w:pPr>
              <w:jc w:val="center"/>
              <w:rPr>
                <w:rFonts w:ascii="仿宋" w:hAnsi="仿宋" w:eastAsia="仿宋" w:cs="仿宋"/>
                <w:color w:val="auto"/>
                <w:szCs w:val="21"/>
                <w:highlight w:val="none"/>
              </w:rPr>
            </w:pPr>
          </w:p>
        </w:tc>
        <w:tc>
          <w:tcPr>
            <w:tcW w:w="5792" w:type="dxa"/>
            <w:tcMar>
              <w:top w:w="17" w:type="dxa"/>
              <w:left w:w="17" w:type="dxa"/>
              <w:bottom w:w="0" w:type="dxa"/>
              <w:right w:w="17" w:type="dxa"/>
            </w:tcMar>
          </w:tcPr>
          <w:p w14:paraId="638F7658">
            <w:pPr>
              <w:rPr>
                <w:rFonts w:ascii="仿宋" w:hAnsi="仿宋" w:eastAsia="仿宋" w:cs="仿宋"/>
                <w:color w:val="auto"/>
                <w:szCs w:val="21"/>
                <w:highlight w:val="none"/>
              </w:rPr>
            </w:pPr>
            <w:r>
              <w:rPr>
                <w:rFonts w:hint="eastAsia" w:ascii="仿宋" w:hAnsi="仿宋" w:eastAsia="仿宋" w:cs="仿宋"/>
                <w:color w:val="auto"/>
                <w:szCs w:val="21"/>
                <w:highlight w:val="none"/>
              </w:rPr>
              <w:t>架空层、浓郁树冠下种植的植物满足生长的需要</w:t>
            </w:r>
          </w:p>
        </w:tc>
        <w:tc>
          <w:tcPr>
            <w:tcW w:w="1012" w:type="dxa"/>
            <w:vMerge w:val="continue"/>
            <w:vAlign w:val="center"/>
          </w:tcPr>
          <w:p w14:paraId="7FF16F71">
            <w:pPr>
              <w:jc w:val="center"/>
              <w:rPr>
                <w:rFonts w:ascii="仿宋" w:hAnsi="仿宋" w:eastAsia="仿宋" w:cs="仿宋"/>
                <w:bCs/>
                <w:color w:val="auto"/>
                <w:szCs w:val="21"/>
                <w:highlight w:val="none"/>
              </w:rPr>
            </w:pPr>
          </w:p>
        </w:tc>
      </w:tr>
      <w:tr w14:paraId="71B227A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7F69CC62">
            <w:pPr>
              <w:jc w:val="center"/>
              <w:rPr>
                <w:rFonts w:ascii="仿宋" w:hAnsi="仿宋" w:eastAsia="仿宋" w:cs="仿宋"/>
                <w:color w:val="auto"/>
                <w:szCs w:val="21"/>
                <w:highlight w:val="none"/>
              </w:rPr>
            </w:pPr>
          </w:p>
        </w:tc>
        <w:tc>
          <w:tcPr>
            <w:tcW w:w="906" w:type="dxa"/>
            <w:vMerge w:val="continue"/>
            <w:vAlign w:val="center"/>
          </w:tcPr>
          <w:p w14:paraId="6DF12DD4">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32ACBAF7">
            <w:pPr>
              <w:rPr>
                <w:rFonts w:ascii="仿宋" w:hAnsi="仿宋" w:eastAsia="仿宋" w:cs="仿宋"/>
                <w:color w:val="auto"/>
                <w:szCs w:val="21"/>
                <w:highlight w:val="none"/>
              </w:rPr>
            </w:pPr>
            <w:r>
              <w:rPr>
                <w:rFonts w:hint="eastAsia" w:ascii="仿宋" w:hAnsi="仿宋" w:eastAsia="仿宋" w:cs="仿宋"/>
                <w:color w:val="auto"/>
                <w:szCs w:val="21"/>
                <w:highlight w:val="none"/>
              </w:rPr>
              <w:t>架空层、树冠等阴凉处种植的植物满足生长的需求</w:t>
            </w:r>
          </w:p>
        </w:tc>
        <w:tc>
          <w:tcPr>
            <w:tcW w:w="1012" w:type="dxa"/>
            <w:vMerge w:val="continue"/>
            <w:vAlign w:val="center"/>
          </w:tcPr>
          <w:p w14:paraId="66BB51C5">
            <w:pPr>
              <w:jc w:val="center"/>
              <w:rPr>
                <w:rFonts w:ascii="仿宋" w:hAnsi="仿宋" w:eastAsia="仿宋" w:cs="仿宋"/>
                <w:color w:val="auto"/>
                <w:szCs w:val="21"/>
                <w:highlight w:val="none"/>
              </w:rPr>
            </w:pPr>
          </w:p>
        </w:tc>
      </w:tr>
      <w:tr w14:paraId="4CDED57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6C026D5F">
            <w:pPr>
              <w:jc w:val="center"/>
              <w:rPr>
                <w:rFonts w:ascii="仿宋" w:hAnsi="仿宋" w:eastAsia="仿宋" w:cs="仿宋"/>
                <w:color w:val="auto"/>
                <w:szCs w:val="21"/>
                <w:highlight w:val="none"/>
              </w:rPr>
            </w:pPr>
          </w:p>
        </w:tc>
        <w:tc>
          <w:tcPr>
            <w:tcW w:w="906" w:type="dxa"/>
            <w:vMerge w:val="restart"/>
            <w:tcMar>
              <w:top w:w="17" w:type="dxa"/>
              <w:left w:w="17" w:type="dxa"/>
              <w:bottom w:w="0" w:type="dxa"/>
              <w:right w:w="17" w:type="dxa"/>
            </w:tcMar>
            <w:vAlign w:val="center"/>
          </w:tcPr>
          <w:p w14:paraId="172B52BC">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垂直</w:t>
            </w:r>
          </w:p>
          <w:p w14:paraId="7698426C">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绿化</w:t>
            </w:r>
          </w:p>
        </w:tc>
        <w:tc>
          <w:tcPr>
            <w:tcW w:w="5792" w:type="dxa"/>
            <w:tcMar>
              <w:top w:w="17" w:type="dxa"/>
              <w:left w:w="17" w:type="dxa"/>
              <w:bottom w:w="0" w:type="dxa"/>
              <w:right w:w="17" w:type="dxa"/>
            </w:tcMar>
            <w:vAlign w:val="bottom"/>
          </w:tcPr>
          <w:p w14:paraId="05C53173">
            <w:pPr>
              <w:rPr>
                <w:rFonts w:ascii="仿宋" w:hAnsi="仿宋" w:eastAsia="仿宋" w:cs="仿宋"/>
                <w:color w:val="auto"/>
                <w:szCs w:val="21"/>
                <w:highlight w:val="none"/>
              </w:rPr>
            </w:pPr>
            <w:r>
              <w:rPr>
                <w:rFonts w:hint="eastAsia" w:ascii="仿宋" w:hAnsi="仿宋" w:eastAsia="仿宋" w:cs="仿宋"/>
                <w:color w:val="auto"/>
                <w:szCs w:val="21"/>
                <w:highlight w:val="none"/>
              </w:rPr>
              <w:t>攀缘植物生长茂盛，边缘修剪整齐，不影响通行、红外监控等设施设备的正常运作</w:t>
            </w:r>
          </w:p>
        </w:tc>
        <w:tc>
          <w:tcPr>
            <w:tcW w:w="1012" w:type="dxa"/>
            <w:vMerge w:val="restart"/>
            <w:vAlign w:val="center"/>
          </w:tcPr>
          <w:p w14:paraId="4268EB64">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每出现一次不合格，扣</w:t>
            </w:r>
            <w:r>
              <w:rPr>
                <w:rFonts w:hint="eastAsia" w:ascii="仿宋" w:hAnsi="仿宋" w:eastAsia="仿宋" w:cs="仿宋"/>
                <w:bCs/>
                <w:color w:val="auto"/>
                <w:szCs w:val="21"/>
                <w:highlight w:val="none"/>
              </w:rPr>
              <w:t>0.5</w:t>
            </w:r>
            <w:r>
              <w:rPr>
                <w:rFonts w:hint="eastAsia" w:ascii="仿宋" w:hAnsi="仿宋" w:eastAsia="仿宋" w:cs="仿宋"/>
                <w:color w:val="auto"/>
                <w:szCs w:val="21"/>
                <w:highlight w:val="none"/>
              </w:rPr>
              <w:t>分</w:t>
            </w:r>
          </w:p>
        </w:tc>
      </w:tr>
      <w:tr w14:paraId="14A4897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15" w:hRule="atLeast"/>
          <w:jc w:val="center"/>
        </w:trPr>
        <w:tc>
          <w:tcPr>
            <w:tcW w:w="606" w:type="dxa"/>
            <w:vMerge w:val="continue"/>
            <w:vAlign w:val="center"/>
          </w:tcPr>
          <w:p w14:paraId="5072D49F">
            <w:pPr>
              <w:jc w:val="center"/>
              <w:rPr>
                <w:rFonts w:ascii="仿宋" w:hAnsi="仿宋" w:eastAsia="仿宋" w:cs="仿宋"/>
                <w:color w:val="auto"/>
                <w:szCs w:val="21"/>
                <w:highlight w:val="none"/>
              </w:rPr>
            </w:pPr>
          </w:p>
        </w:tc>
        <w:tc>
          <w:tcPr>
            <w:tcW w:w="906" w:type="dxa"/>
            <w:vMerge w:val="continue"/>
            <w:vAlign w:val="center"/>
          </w:tcPr>
          <w:p w14:paraId="21B48BD5">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0CDBC435">
            <w:pPr>
              <w:rPr>
                <w:rFonts w:ascii="仿宋" w:hAnsi="仿宋" w:eastAsia="仿宋" w:cs="仿宋"/>
                <w:color w:val="auto"/>
                <w:szCs w:val="21"/>
                <w:highlight w:val="none"/>
              </w:rPr>
            </w:pPr>
            <w:r>
              <w:rPr>
                <w:rFonts w:hint="eastAsia" w:ascii="仿宋" w:hAnsi="仿宋" w:eastAsia="仿宋" w:cs="仿宋"/>
                <w:color w:val="auto"/>
                <w:szCs w:val="21"/>
                <w:highlight w:val="none"/>
              </w:rPr>
              <w:t>生长期覆盖率达95%以上</w:t>
            </w:r>
          </w:p>
        </w:tc>
        <w:tc>
          <w:tcPr>
            <w:tcW w:w="1012" w:type="dxa"/>
            <w:vMerge w:val="continue"/>
            <w:vAlign w:val="center"/>
          </w:tcPr>
          <w:p w14:paraId="1228C4E3">
            <w:pPr>
              <w:jc w:val="center"/>
              <w:rPr>
                <w:rFonts w:ascii="仿宋" w:hAnsi="仿宋" w:eastAsia="仿宋" w:cs="仿宋"/>
                <w:color w:val="auto"/>
                <w:szCs w:val="21"/>
                <w:highlight w:val="none"/>
              </w:rPr>
            </w:pPr>
          </w:p>
        </w:tc>
      </w:tr>
      <w:tr w14:paraId="559F4C8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331" w:hRule="atLeast"/>
          <w:jc w:val="center"/>
        </w:trPr>
        <w:tc>
          <w:tcPr>
            <w:tcW w:w="606" w:type="dxa"/>
            <w:vMerge w:val="continue"/>
            <w:vAlign w:val="center"/>
          </w:tcPr>
          <w:p w14:paraId="58CCF8CD">
            <w:pPr>
              <w:jc w:val="center"/>
              <w:rPr>
                <w:rFonts w:ascii="仿宋" w:hAnsi="仿宋" w:eastAsia="仿宋" w:cs="仿宋"/>
                <w:color w:val="auto"/>
                <w:szCs w:val="21"/>
                <w:highlight w:val="none"/>
              </w:rPr>
            </w:pPr>
          </w:p>
        </w:tc>
        <w:tc>
          <w:tcPr>
            <w:tcW w:w="906" w:type="dxa"/>
            <w:vMerge w:val="restart"/>
            <w:tcMar>
              <w:top w:w="17" w:type="dxa"/>
              <w:left w:w="17" w:type="dxa"/>
              <w:bottom w:w="0" w:type="dxa"/>
              <w:right w:w="17" w:type="dxa"/>
            </w:tcMar>
            <w:vAlign w:val="center"/>
          </w:tcPr>
          <w:p w14:paraId="2927E6CC">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室内</w:t>
            </w:r>
          </w:p>
          <w:p w14:paraId="590F4049">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绿化</w:t>
            </w:r>
          </w:p>
        </w:tc>
        <w:tc>
          <w:tcPr>
            <w:tcW w:w="5792" w:type="dxa"/>
            <w:tcMar>
              <w:top w:w="17" w:type="dxa"/>
              <w:left w:w="17" w:type="dxa"/>
              <w:bottom w:w="0" w:type="dxa"/>
              <w:right w:w="17" w:type="dxa"/>
            </w:tcMar>
          </w:tcPr>
          <w:p w14:paraId="4E4AF194">
            <w:pPr>
              <w:rPr>
                <w:rFonts w:ascii="仿宋" w:hAnsi="仿宋" w:eastAsia="仿宋" w:cs="仿宋"/>
                <w:color w:val="auto"/>
                <w:szCs w:val="21"/>
                <w:highlight w:val="none"/>
              </w:rPr>
            </w:pPr>
            <w:r>
              <w:rPr>
                <w:rFonts w:hint="eastAsia" w:ascii="仿宋" w:hAnsi="仿宋" w:eastAsia="仿宋" w:cs="仿宋"/>
                <w:color w:val="auto"/>
                <w:szCs w:val="21"/>
                <w:highlight w:val="none"/>
              </w:rPr>
              <w:t>植物生长旺盛，无病虫害、干枯枝，叶面光亮洁净无灰尘</w:t>
            </w:r>
          </w:p>
        </w:tc>
        <w:tc>
          <w:tcPr>
            <w:tcW w:w="1012" w:type="dxa"/>
            <w:vMerge w:val="restart"/>
            <w:vAlign w:val="center"/>
          </w:tcPr>
          <w:p w14:paraId="3ED9EA87">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每出现一次不合格，扣</w:t>
            </w:r>
            <w:r>
              <w:rPr>
                <w:rFonts w:hint="eastAsia" w:ascii="仿宋" w:hAnsi="仿宋" w:eastAsia="仿宋" w:cs="仿宋"/>
                <w:bCs/>
                <w:color w:val="auto"/>
                <w:szCs w:val="21"/>
                <w:highlight w:val="none"/>
              </w:rPr>
              <w:t>0.5</w:t>
            </w:r>
            <w:r>
              <w:rPr>
                <w:rFonts w:hint="eastAsia" w:ascii="仿宋" w:hAnsi="仿宋" w:eastAsia="仿宋" w:cs="仿宋"/>
                <w:color w:val="auto"/>
                <w:szCs w:val="21"/>
                <w:highlight w:val="none"/>
              </w:rPr>
              <w:t>分</w:t>
            </w:r>
          </w:p>
        </w:tc>
      </w:tr>
      <w:tr w14:paraId="22C717F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31" w:hRule="atLeast"/>
          <w:jc w:val="center"/>
        </w:trPr>
        <w:tc>
          <w:tcPr>
            <w:tcW w:w="606" w:type="dxa"/>
            <w:vMerge w:val="continue"/>
          </w:tcPr>
          <w:p w14:paraId="4B96B191">
            <w:pPr>
              <w:jc w:val="center"/>
              <w:rPr>
                <w:rFonts w:ascii="仿宋" w:hAnsi="仿宋" w:eastAsia="仿宋" w:cs="仿宋"/>
                <w:color w:val="auto"/>
                <w:szCs w:val="21"/>
                <w:highlight w:val="none"/>
              </w:rPr>
            </w:pPr>
          </w:p>
        </w:tc>
        <w:tc>
          <w:tcPr>
            <w:tcW w:w="906" w:type="dxa"/>
            <w:vMerge w:val="continue"/>
          </w:tcPr>
          <w:p w14:paraId="0AE25832">
            <w:pPr>
              <w:jc w:val="center"/>
              <w:rPr>
                <w:rFonts w:ascii="仿宋" w:hAnsi="仿宋" w:eastAsia="仿宋" w:cs="仿宋"/>
                <w:color w:val="auto"/>
                <w:szCs w:val="21"/>
                <w:highlight w:val="none"/>
              </w:rPr>
            </w:pPr>
          </w:p>
        </w:tc>
        <w:tc>
          <w:tcPr>
            <w:tcW w:w="5792" w:type="dxa"/>
          </w:tcPr>
          <w:p w14:paraId="6620B8DB">
            <w:pPr>
              <w:rPr>
                <w:rFonts w:ascii="仿宋" w:hAnsi="仿宋" w:eastAsia="仿宋" w:cs="仿宋"/>
                <w:color w:val="auto"/>
                <w:szCs w:val="21"/>
                <w:highlight w:val="none"/>
              </w:rPr>
            </w:pPr>
            <w:r>
              <w:rPr>
                <w:rFonts w:hint="eastAsia" w:ascii="仿宋" w:hAnsi="仿宋" w:eastAsia="仿宋" w:cs="仿宋"/>
                <w:color w:val="auto"/>
                <w:szCs w:val="21"/>
                <w:highlight w:val="none"/>
              </w:rPr>
              <w:t>花盆、底碟干净</w:t>
            </w:r>
          </w:p>
        </w:tc>
        <w:tc>
          <w:tcPr>
            <w:tcW w:w="1012" w:type="dxa"/>
            <w:vMerge w:val="continue"/>
          </w:tcPr>
          <w:p w14:paraId="6F6F31F9">
            <w:pPr>
              <w:jc w:val="center"/>
              <w:rPr>
                <w:rFonts w:ascii="仿宋" w:hAnsi="仿宋" w:eastAsia="仿宋" w:cs="仿宋"/>
                <w:bCs/>
                <w:color w:val="auto"/>
                <w:szCs w:val="21"/>
                <w:highlight w:val="none"/>
              </w:rPr>
            </w:pPr>
          </w:p>
        </w:tc>
      </w:tr>
      <w:tr w14:paraId="0469374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restart"/>
            <w:vAlign w:val="center"/>
          </w:tcPr>
          <w:p w14:paraId="4BABD3AF">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作业</w:t>
            </w:r>
          </w:p>
          <w:p w14:paraId="3AABED8D">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要求</w:t>
            </w:r>
          </w:p>
          <w:p w14:paraId="249EE458">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25分</w:t>
            </w:r>
          </w:p>
        </w:tc>
        <w:tc>
          <w:tcPr>
            <w:tcW w:w="906" w:type="dxa"/>
            <w:vMerge w:val="restart"/>
            <w:vAlign w:val="center"/>
          </w:tcPr>
          <w:p w14:paraId="73C93B5F">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乔木</w:t>
            </w:r>
          </w:p>
        </w:tc>
        <w:tc>
          <w:tcPr>
            <w:tcW w:w="5792" w:type="dxa"/>
            <w:tcMar>
              <w:top w:w="17" w:type="dxa"/>
              <w:left w:w="17" w:type="dxa"/>
              <w:bottom w:w="0" w:type="dxa"/>
              <w:right w:w="17" w:type="dxa"/>
            </w:tcMar>
            <w:vAlign w:val="bottom"/>
          </w:tcPr>
          <w:p w14:paraId="5B29BEBE">
            <w:pPr>
              <w:rPr>
                <w:rFonts w:ascii="仿宋" w:hAnsi="仿宋" w:eastAsia="仿宋" w:cs="仿宋"/>
                <w:color w:val="auto"/>
                <w:szCs w:val="21"/>
                <w:highlight w:val="none"/>
              </w:rPr>
            </w:pPr>
            <w:r>
              <w:rPr>
                <w:rFonts w:hint="eastAsia" w:ascii="仿宋" w:hAnsi="仿宋" w:eastAsia="仿宋" w:cs="仿宋"/>
                <w:color w:val="auto"/>
                <w:szCs w:val="21"/>
                <w:highlight w:val="none"/>
              </w:rPr>
              <w:t>养护频率严格执行</w:t>
            </w:r>
          </w:p>
        </w:tc>
        <w:tc>
          <w:tcPr>
            <w:tcW w:w="1012" w:type="dxa"/>
            <w:vMerge w:val="restart"/>
            <w:vAlign w:val="center"/>
          </w:tcPr>
          <w:p w14:paraId="3A00A96F">
            <w:pPr>
              <w:jc w:val="center"/>
              <w:rPr>
                <w:rFonts w:ascii="仿宋" w:hAnsi="仿宋" w:eastAsia="仿宋" w:cs="仿宋"/>
                <w:bCs/>
                <w:color w:val="auto"/>
                <w:szCs w:val="21"/>
                <w:highlight w:val="none"/>
              </w:rPr>
            </w:pPr>
            <w:r>
              <w:rPr>
                <w:rFonts w:hint="eastAsia" w:ascii="仿宋" w:hAnsi="仿宋" w:eastAsia="仿宋" w:cs="仿宋"/>
                <w:color w:val="auto"/>
                <w:szCs w:val="21"/>
                <w:highlight w:val="none"/>
              </w:rPr>
              <w:t>每出现一次不合格，扣</w:t>
            </w:r>
            <w:r>
              <w:rPr>
                <w:rFonts w:hint="eastAsia" w:ascii="仿宋" w:hAnsi="仿宋" w:eastAsia="仿宋" w:cs="仿宋"/>
                <w:bCs/>
                <w:color w:val="auto"/>
                <w:szCs w:val="21"/>
                <w:highlight w:val="none"/>
              </w:rPr>
              <w:t>0.5</w:t>
            </w:r>
            <w:r>
              <w:rPr>
                <w:rFonts w:hint="eastAsia" w:ascii="仿宋" w:hAnsi="仿宋" w:eastAsia="仿宋" w:cs="仿宋"/>
                <w:color w:val="auto"/>
                <w:szCs w:val="21"/>
                <w:highlight w:val="none"/>
              </w:rPr>
              <w:t>分</w:t>
            </w:r>
          </w:p>
        </w:tc>
      </w:tr>
      <w:tr w14:paraId="1E6C918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4FC5AF72">
            <w:pPr>
              <w:jc w:val="center"/>
              <w:rPr>
                <w:rFonts w:ascii="仿宋" w:hAnsi="仿宋" w:eastAsia="仿宋" w:cs="仿宋"/>
                <w:color w:val="auto"/>
                <w:szCs w:val="21"/>
                <w:highlight w:val="none"/>
              </w:rPr>
            </w:pPr>
          </w:p>
        </w:tc>
        <w:tc>
          <w:tcPr>
            <w:tcW w:w="906" w:type="dxa"/>
            <w:vMerge w:val="continue"/>
            <w:vAlign w:val="center"/>
          </w:tcPr>
          <w:p w14:paraId="24A57C20">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3AC008B5">
            <w:pPr>
              <w:rPr>
                <w:rFonts w:ascii="仿宋" w:hAnsi="仿宋" w:eastAsia="仿宋" w:cs="仿宋"/>
                <w:color w:val="auto"/>
                <w:szCs w:val="21"/>
                <w:highlight w:val="none"/>
              </w:rPr>
            </w:pPr>
            <w:r>
              <w:rPr>
                <w:rFonts w:hint="eastAsia" w:ascii="仿宋" w:hAnsi="仿宋" w:eastAsia="仿宋" w:cs="仿宋"/>
                <w:color w:val="auto"/>
                <w:szCs w:val="21"/>
                <w:highlight w:val="none"/>
              </w:rPr>
              <w:t>每年保证乔木修剪2次（台风前及入冬后）</w:t>
            </w:r>
          </w:p>
        </w:tc>
        <w:tc>
          <w:tcPr>
            <w:tcW w:w="1012" w:type="dxa"/>
            <w:vMerge w:val="continue"/>
            <w:vAlign w:val="center"/>
          </w:tcPr>
          <w:p w14:paraId="18B3C635">
            <w:pPr>
              <w:jc w:val="center"/>
              <w:rPr>
                <w:rFonts w:ascii="仿宋" w:hAnsi="仿宋" w:eastAsia="仿宋" w:cs="仿宋"/>
                <w:color w:val="auto"/>
                <w:szCs w:val="21"/>
                <w:highlight w:val="none"/>
              </w:rPr>
            </w:pPr>
          </w:p>
        </w:tc>
      </w:tr>
      <w:tr w14:paraId="05066C8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7D549825">
            <w:pPr>
              <w:jc w:val="center"/>
              <w:rPr>
                <w:rFonts w:ascii="仿宋" w:hAnsi="仿宋" w:eastAsia="仿宋" w:cs="仿宋"/>
                <w:color w:val="auto"/>
                <w:szCs w:val="21"/>
                <w:highlight w:val="none"/>
              </w:rPr>
            </w:pPr>
          </w:p>
        </w:tc>
        <w:tc>
          <w:tcPr>
            <w:tcW w:w="906" w:type="dxa"/>
            <w:vMerge w:val="continue"/>
            <w:vAlign w:val="center"/>
          </w:tcPr>
          <w:p w14:paraId="11DFE215">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74165C60">
            <w:pPr>
              <w:rPr>
                <w:rFonts w:ascii="仿宋" w:hAnsi="仿宋" w:eastAsia="仿宋" w:cs="仿宋"/>
                <w:color w:val="auto"/>
                <w:szCs w:val="21"/>
                <w:highlight w:val="none"/>
              </w:rPr>
            </w:pPr>
            <w:r>
              <w:rPr>
                <w:rFonts w:hint="eastAsia" w:ascii="仿宋" w:hAnsi="仿宋" w:eastAsia="仿宋" w:cs="仿宋"/>
                <w:color w:val="auto"/>
                <w:szCs w:val="21"/>
                <w:highlight w:val="none"/>
              </w:rPr>
              <w:t>棕榈科植物及长势弱的植株每年保证施有机肥1次，施复合肥1次，施肥深度不少于30CM</w:t>
            </w:r>
          </w:p>
        </w:tc>
        <w:tc>
          <w:tcPr>
            <w:tcW w:w="1012" w:type="dxa"/>
            <w:vMerge w:val="continue"/>
            <w:vAlign w:val="center"/>
          </w:tcPr>
          <w:p w14:paraId="6AEF0F82">
            <w:pPr>
              <w:jc w:val="center"/>
              <w:rPr>
                <w:rFonts w:ascii="仿宋" w:hAnsi="仿宋" w:eastAsia="仿宋" w:cs="仿宋"/>
                <w:bCs/>
                <w:color w:val="auto"/>
                <w:szCs w:val="21"/>
                <w:highlight w:val="none"/>
              </w:rPr>
            </w:pPr>
          </w:p>
        </w:tc>
      </w:tr>
      <w:tr w14:paraId="161F517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716909CE">
            <w:pPr>
              <w:jc w:val="center"/>
              <w:rPr>
                <w:rFonts w:ascii="仿宋" w:hAnsi="仿宋" w:eastAsia="仿宋" w:cs="仿宋"/>
                <w:color w:val="auto"/>
                <w:szCs w:val="21"/>
                <w:highlight w:val="none"/>
              </w:rPr>
            </w:pPr>
          </w:p>
        </w:tc>
        <w:tc>
          <w:tcPr>
            <w:tcW w:w="906" w:type="dxa"/>
            <w:vMerge w:val="restart"/>
            <w:vAlign w:val="center"/>
          </w:tcPr>
          <w:p w14:paraId="747B805E">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灌木及花坛</w:t>
            </w:r>
          </w:p>
        </w:tc>
        <w:tc>
          <w:tcPr>
            <w:tcW w:w="5792" w:type="dxa"/>
            <w:tcMar>
              <w:top w:w="17" w:type="dxa"/>
              <w:left w:w="17" w:type="dxa"/>
              <w:bottom w:w="0" w:type="dxa"/>
              <w:right w:w="17" w:type="dxa"/>
            </w:tcMar>
            <w:vAlign w:val="bottom"/>
          </w:tcPr>
          <w:p w14:paraId="7CAFFE9D">
            <w:pPr>
              <w:rPr>
                <w:rFonts w:ascii="仿宋" w:hAnsi="仿宋" w:eastAsia="仿宋" w:cs="仿宋"/>
                <w:color w:val="auto"/>
                <w:szCs w:val="21"/>
                <w:highlight w:val="none"/>
              </w:rPr>
            </w:pPr>
            <w:r>
              <w:rPr>
                <w:rFonts w:hint="eastAsia" w:ascii="仿宋" w:hAnsi="仿宋" w:eastAsia="仿宋" w:cs="仿宋"/>
                <w:color w:val="auto"/>
                <w:szCs w:val="21"/>
                <w:highlight w:val="none"/>
              </w:rPr>
              <w:t>养护频率严格执行</w:t>
            </w:r>
          </w:p>
        </w:tc>
        <w:tc>
          <w:tcPr>
            <w:tcW w:w="1012" w:type="dxa"/>
            <w:vMerge w:val="restart"/>
            <w:vAlign w:val="center"/>
          </w:tcPr>
          <w:p w14:paraId="5F8FBBD6">
            <w:pPr>
              <w:jc w:val="center"/>
              <w:rPr>
                <w:rFonts w:ascii="仿宋" w:hAnsi="仿宋" w:eastAsia="仿宋" w:cs="仿宋"/>
                <w:bCs/>
                <w:color w:val="auto"/>
                <w:szCs w:val="21"/>
                <w:highlight w:val="none"/>
              </w:rPr>
            </w:pPr>
            <w:r>
              <w:rPr>
                <w:rFonts w:hint="eastAsia" w:ascii="仿宋" w:hAnsi="仿宋" w:eastAsia="仿宋" w:cs="仿宋"/>
                <w:color w:val="auto"/>
                <w:szCs w:val="21"/>
                <w:highlight w:val="none"/>
              </w:rPr>
              <w:t>每出现一次不合格，扣</w:t>
            </w:r>
            <w:r>
              <w:rPr>
                <w:rFonts w:hint="eastAsia" w:ascii="仿宋" w:hAnsi="仿宋" w:eastAsia="仿宋" w:cs="仿宋"/>
                <w:bCs/>
                <w:color w:val="auto"/>
                <w:szCs w:val="21"/>
                <w:highlight w:val="none"/>
              </w:rPr>
              <w:t>0.5</w:t>
            </w:r>
            <w:r>
              <w:rPr>
                <w:rFonts w:hint="eastAsia" w:ascii="仿宋" w:hAnsi="仿宋" w:eastAsia="仿宋" w:cs="仿宋"/>
                <w:color w:val="auto"/>
                <w:szCs w:val="21"/>
                <w:highlight w:val="none"/>
              </w:rPr>
              <w:t>分</w:t>
            </w:r>
          </w:p>
        </w:tc>
      </w:tr>
      <w:tr w14:paraId="54623DA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38DFD9EC">
            <w:pPr>
              <w:jc w:val="center"/>
              <w:rPr>
                <w:rFonts w:ascii="仿宋" w:hAnsi="仿宋" w:eastAsia="仿宋" w:cs="仿宋"/>
                <w:color w:val="auto"/>
                <w:szCs w:val="21"/>
                <w:highlight w:val="none"/>
              </w:rPr>
            </w:pPr>
          </w:p>
        </w:tc>
        <w:tc>
          <w:tcPr>
            <w:tcW w:w="906" w:type="dxa"/>
            <w:vMerge w:val="continue"/>
            <w:vAlign w:val="center"/>
          </w:tcPr>
          <w:p w14:paraId="770694A2">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1092918E">
            <w:pPr>
              <w:rPr>
                <w:rFonts w:ascii="仿宋" w:hAnsi="仿宋" w:eastAsia="仿宋" w:cs="仿宋"/>
                <w:color w:val="auto"/>
                <w:szCs w:val="21"/>
                <w:highlight w:val="none"/>
              </w:rPr>
            </w:pPr>
            <w:r>
              <w:rPr>
                <w:rFonts w:hint="eastAsia" w:ascii="仿宋" w:hAnsi="仿宋" w:eastAsia="仿宋" w:cs="仿宋"/>
                <w:color w:val="auto"/>
                <w:szCs w:val="21"/>
                <w:highlight w:val="none"/>
              </w:rPr>
              <w:t>保证花坛水分供给2-3次/周</w:t>
            </w:r>
          </w:p>
        </w:tc>
        <w:tc>
          <w:tcPr>
            <w:tcW w:w="1012" w:type="dxa"/>
            <w:vMerge w:val="continue"/>
            <w:vAlign w:val="center"/>
          </w:tcPr>
          <w:p w14:paraId="5C8B5198">
            <w:pPr>
              <w:jc w:val="center"/>
              <w:rPr>
                <w:rFonts w:ascii="仿宋" w:hAnsi="仿宋" w:eastAsia="仿宋" w:cs="仿宋"/>
                <w:color w:val="auto"/>
                <w:szCs w:val="21"/>
                <w:highlight w:val="none"/>
              </w:rPr>
            </w:pPr>
          </w:p>
        </w:tc>
      </w:tr>
      <w:tr w14:paraId="7B98B40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69C9D93D">
            <w:pPr>
              <w:jc w:val="center"/>
              <w:rPr>
                <w:rFonts w:ascii="仿宋" w:hAnsi="仿宋" w:eastAsia="仿宋" w:cs="仿宋"/>
                <w:color w:val="auto"/>
                <w:szCs w:val="21"/>
                <w:highlight w:val="none"/>
              </w:rPr>
            </w:pPr>
          </w:p>
        </w:tc>
        <w:tc>
          <w:tcPr>
            <w:tcW w:w="906" w:type="dxa"/>
            <w:vMerge w:val="continue"/>
            <w:vAlign w:val="center"/>
          </w:tcPr>
          <w:p w14:paraId="7096ACA0">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6BBCB224">
            <w:pPr>
              <w:rPr>
                <w:rFonts w:ascii="仿宋" w:hAnsi="仿宋" w:eastAsia="仿宋" w:cs="仿宋"/>
                <w:color w:val="auto"/>
                <w:szCs w:val="21"/>
                <w:highlight w:val="none"/>
              </w:rPr>
            </w:pPr>
            <w:r>
              <w:rPr>
                <w:rFonts w:hint="eastAsia" w:ascii="仿宋" w:hAnsi="仿宋" w:eastAsia="仿宋" w:cs="仿宋"/>
                <w:color w:val="auto"/>
                <w:szCs w:val="21"/>
                <w:highlight w:val="none"/>
              </w:rPr>
              <w:t>生长旺季修剪2-3次/月，生长缓慢期修剪1-2次/月</w:t>
            </w:r>
          </w:p>
        </w:tc>
        <w:tc>
          <w:tcPr>
            <w:tcW w:w="1012" w:type="dxa"/>
            <w:vMerge w:val="continue"/>
            <w:vAlign w:val="center"/>
          </w:tcPr>
          <w:p w14:paraId="4503FF9A">
            <w:pPr>
              <w:jc w:val="center"/>
              <w:rPr>
                <w:rFonts w:ascii="仿宋" w:hAnsi="仿宋" w:eastAsia="仿宋" w:cs="仿宋"/>
                <w:bCs/>
                <w:color w:val="auto"/>
                <w:szCs w:val="21"/>
                <w:highlight w:val="none"/>
              </w:rPr>
            </w:pPr>
          </w:p>
        </w:tc>
      </w:tr>
      <w:tr w14:paraId="619FFAA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5E01AAED">
            <w:pPr>
              <w:jc w:val="center"/>
              <w:rPr>
                <w:rFonts w:ascii="仿宋" w:hAnsi="仿宋" w:eastAsia="仿宋" w:cs="仿宋"/>
                <w:color w:val="auto"/>
                <w:szCs w:val="21"/>
                <w:highlight w:val="none"/>
              </w:rPr>
            </w:pPr>
          </w:p>
        </w:tc>
        <w:tc>
          <w:tcPr>
            <w:tcW w:w="906" w:type="dxa"/>
            <w:vMerge w:val="continue"/>
            <w:vAlign w:val="center"/>
          </w:tcPr>
          <w:p w14:paraId="3F3404B4">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159187B6">
            <w:pPr>
              <w:rPr>
                <w:rFonts w:ascii="仿宋" w:hAnsi="仿宋" w:eastAsia="仿宋" w:cs="仿宋"/>
                <w:color w:val="auto"/>
                <w:szCs w:val="21"/>
                <w:highlight w:val="none"/>
              </w:rPr>
            </w:pPr>
            <w:r>
              <w:rPr>
                <w:rFonts w:hint="eastAsia" w:ascii="仿宋" w:hAnsi="仿宋" w:eastAsia="仿宋" w:cs="仿宋"/>
                <w:color w:val="auto"/>
                <w:szCs w:val="21"/>
                <w:highlight w:val="none"/>
              </w:rPr>
              <w:t>孤植灌木每年保证施有机肥1次，施肥深度不小于20CM</w:t>
            </w:r>
          </w:p>
        </w:tc>
        <w:tc>
          <w:tcPr>
            <w:tcW w:w="1012" w:type="dxa"/>
            <w:vMerge w:val="continue"/>
            <w:vAlign w:val="center"/>
          </w:tcPr>
          <w:p w14:paraId="5A89BCB4">
            <w:pPr>
              <w:jc w:val="center"/>
              <w:rPr>
                <w:rFonts w:ascii="仿宋" w:hAnsi="仿宋" w:eastAsia="仿宋" w:cs="仿宋"/>
                <w:bCs/>
                <w:color w:val="auto"/>
                <w:szCs w:val="21"/>
                <w:highlight w:val="none"/>
              </w:rPr>
            </w:pPr>
          </w:p>
        </w:tc>
      </w:tr>
      <w:tr w14:paraId="3E20D24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2F595E50">
            <w:pPr>
              <w:jc w:val="center"/>
              <w:rPr>
                <w:rFonts w:ascii="仿宋" w:hAnsi="仿宋" w:eastAsia="仿宋" w:cs="仿宋"/>
                <w:color w:val="auto"/>
                <w:szCs w:val="21"/>
                <w:highlight w:val="none"/>
              </w:rPr>
            </w:pPr>
          </w:p>
        </w:tc>
        <w:tc>
          <w:tcPr>
            <w:tcW w:w="906" w:type="dxa"/>
            <w:vMerge w:val="continue"/>
            <w:vAlign w:val="center"/>
          </w:tcPr>
          <w:p w14:paraId="4A7D81A3">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29074D1A">
            <w:pPr>
              <w:rPr>
                <w:rFonts w:ascii="仿宋" w:hAnsi="仿宋" w:eastAsia="仿宋" w:cs="仿宋"/>
                <w:color w:val="auto"/>
                <w:szCs w:val="21"/>
                <w:highlight w:val="none"/>
              </w:rPr>
            </w:pPr>
            <w:r>
              <w:rPr>
                <w:rFonts w:hint="eastAsia" w:ascii="仿宋" w:hAnsi="仿宋" w:eastAsia="仿宋" w:cs="仿宋"/>
                <w:color w:val="auto"/>
                <w:szCs w:val="21"/>
                <w:highlight w:val="none"/>
              </w:rPr>
              <w:t>花坛每季度施肥1次；预留观花的植物，保证开花繁茂，枝条不过于杂乱</w:t>
            </w:r>
          </w:p>
        </w:tc>
        <w:tc>
          <w:tcPr>
            <w:tcW w:w="1012" w:type="dxa"/>
            <w:vMerge w:val="continue"/>
            <w:vAlign w:val="center"/>
          </w:tcPr>
          <w:p w14:paraId="7C532A27">
            <w:pPr>
              <w:jc w:val="center"/>
              <w:rPr>
                <w:rFonts w:ascii="仿宋" w:hAnsi="仿宋" w:eastAsia="仿宋" w:cs="仿宋"/>
                <w:bCs/>
                <w:color w:val="auto"/>
                <w:szCs w:val="21"/>
                <w:highlight w:val="none"/>
              </w:rPr>
            </w:pPr>
          </w:p>
        </w:tc>
      </w:tr>
      <w:tr w14:paraId="208DBFB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1887FA20">
            <w:pPr>
              <w:jc w:val="center"/>
              <w:rPr>
                <w:rFonts w:ascii="仿宋" w:hAnsi="仿宋" w:eastAsia="仿宋" w:cs="仿宋"/>
                <w:color w:val="auto"/>
                <w:szCs w:val="21"/>
                <w:highlight w:val="none"/>
              </w:rPr>
            </w:pPr>
          </w:p>
        </w:tc>
        <w:tc>
          <w:tcPr>
            <w:tcW w:w="906" w:type="dxa"/>
            <w:vMerge w:val="restart"/>
            <w:vAlign w:val="center"/>
          </w:tcPr>
          <w:p w14:paraId="0CCA3C85">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草坪</w:t>
            </w:r>
          </w:p>
        </w:tc>
        <w:tc>
          <w:tcPr>
            <w:tcW w:w="5792" w:type="dxa"/>
            <w:tcMar>
              <w:top w:w="17" w:type="dxa"/>
              <w:left w:w="17" w:type="dxa"/>
              <w:bottom w:w="0" w:type="dxa"/>
              <w:right w:w="17" w:type="dxa"/>
            </w:tcMar>
            <w:vAlign w:val="bottom"/>
          </w:tcPr>
          <w:p w14:paraId="5FCCA90E">
            <w:pPr>
              <w:rPr>
                <w:rFonts w:ascii="仿宋" w:hAnsi="仿宋" w:eastAsia="仿宋" w:cs="仿宋"/>
                <w:color w:val="auto"/>
                <w:szCs w:val="21"/>
                <w:highlight w:val="none"/>
              </w:rPr>
            </w:pPr>
            <w:r>
              <w:rPr>
                <w:rFonts w:hint="eastAsia" w:ascii="仿宋" w:hAnsi="仿宋" w:eastAsia="仿宋" w:cs="仿宋"/>
                <w:color w:val="auto"/>
                <w:szCs w:val="21"/>
                <w:highlight w:val="none"/>
              </w:rPr>
              <w:t>养护频率严格执行</w:t>
            </w:r>
          </w:p>
        </w:tc>
        <w:tc>
          <w:tcPr>
            <w:tcW w:w="1012" w:type="dxa"/>
            <w:vMerge w:val="restart"/>
            <w:vAlign w:val="center"/>
          </w:tcPr>
          <w:p w14:paraId="45E2C7BB">
            <w:pPr>
              <w:jc w:val="center"/>
              <w:rPr>
                <w:rFonts w:ascii="仿宋" w:hAnsi="仿宋" w:eastAsia="仿宋" w:cs="仿宋"/>
                <w:bCs/>
                <w:color w:val="auto"/>
                <w:szCs w:val="21"/>
                <w:highlight w:val="none"/>
              </w:rPr>
            </w:pPr>
            <w:r>
              <w:rPr>
                <w:rFonts w:hint="eastAsia" w:ascii="仿宋" w:hAnsi="仿宋" w:eastAsia="仿宋" w:cs="仿宋"/>
                <w:color w:val="auto"/>
                <w:szCs w:val="21"/>
                <w:highlight w:val="none"/>
              </w:rPr>
              <w:t>每出现一次不合格，扣</w:t>
            </w:r>
            <w:r>
              <w:rPr>
                <w:rFonts w:hint="eastAsia" w:ascii="仿宋" w:hAnsi="仿宋" w:eastAsia="仿宋" w:cs="仿宋"/>
                <w:bCs/>
                <w:color w:val="auto"/>
                <w:szCs w:val="21"/>
                <w:highlight w:val="none"/>
              </w:rPr>
              <w:t>0.5</w:t>
            </w:r>
            <w:r>
              <w:rPr>
                <w:rFonts w:hint="eastAsia" w:ascii="仿宋" w:hAnsi="仿宋" w:eastAsia="仿宋" w:cs="仿宋"/>
                <w:color w:val="auto"/>
                <w:szCs w:val="21"/>
                <w:highlight w:val="none"/>
              </w:rPr>
              <w:t>分</w:t>
            </w:r>
          </w:p>
        </w:tc>
      </w:tr>
      <w:tr w14:paraId="2F872F8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66D50A46">
            <w:pPr>
              <w:jc w:val="center"/>
              <w:rPr>
                <w:rFonts w:ascii="仿宋" w:hAnsi="仿宋" w:eastAsia="仿宋" w:cs="仿宋"/>
                <w:color w:val="auto"/>
                <w:szCs w:val="21"/>
                <w:highlight w:val="none"/>
              </w:rPr>
            </w:pPr>
          </w:p>
        </w:tc>
        <w:tc>
          <w:tcPr>
            <w:tcW w:w="906" w:type="dxa"/>
            <w:vMerge w:val="continue"/>
            <w:vAlign w:val="center"/>
          </w:tcPr>
          <w:p w14:paraId="3D88EA1B">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01FB7E2A">
            <w:pPr>
              <w:rPr>
                <w:rFonts w:ascii="仿宋" w:hAnsi="仿宋" w:eastAsia="仿宋" w:cs="仿宋"/>
                <w:color w:val="auto"/>
                <w:szCs w:val="21"/>
                <w:highlight w:val="none"/>
              </w:rPr>
            </w:pPr>
            <w:r>
              <w:rPr>
                <w:rFonts w:hint="eastAsia" w:ascii="仿宋" w:hAnsi="仿宋" w:eastAsia="仿宋" w:cs="仿宋"/>
                <w:color w:val="auto"/>
                <w:szCs w:val="21"/>
                <w:highlight w:val="none"/>
              </w:rPr>
              <w:t>每年5-10月份修剪1-2次/月，每年11-4月份修剪1次/月</w:t>
            </w:r>
          </w:p>
        </w:tc>
        <w:tc>
          <w:tcPr>
            <w:tcW w:w="1012" w:type="dxa"/>
            <w:vMerge w:val="continue"/>
            <w:vAlign w:val="center"/>
          </w:tcPr>
          <w:p w14:paraId="4B77B091">
            <w:pPr>
              <w:jc w:val="center"/>
              <w:rPr>
                <w:rFonts w:ascii="仿宋" w:hAnsi="仿宋" w:eastAsia="仿宋" w:cs="仿宋"/>
                <w:color w:val="auto"/>
                <w:szCs w:val="21"/>
                <w:highlight w:val="none"/>
              </w:rPr>
            </w:pPr>
          </w:p>
        </w:tc>
      </w:tr>
      <w:tr w14:paraId="3EF41DF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5E5954A1">
            <w:pPr>
              <w:jc w:val="center"/>
              <w:rPr>
                <w:rFonts w:ascii="仿宋" w:hAnsi="仿宋" w:eastAsia="仿宋" w:cs="仿宋"/>
                <w:color w:val="auto"/>
                <w:szCs w:val="21"/>
                <w:highlight w:val="none"/>
              </w:rPr>
            </w:pPr>
          </w:p>
        </w:tc>
        <w:tc>
          <w:tcPr>
            <w:tcW w:w="906" w:type="dxa"/>
            <w:vMerge w:val="continue"/>
            <w:vAlign w:val="center"/>
          </w:tcPr>
          <w:p w14:paraId="3C1DF97E">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0A71597E">
            <w:pPr>
              <w:rPr>
                <w:rFonts w:ascii="仿宋" w:hAnsi="仿宋" w:eastAsia="仿宋" w:cs="仿宋"/>
                <w:color w:val="auto"/>
                <w:szCs w:val="21"/>
                <w:highlight w:val="none"/>
              </w:rPr>
            </w:pPr>
            <w:r>
              <w:rPr>
                <w:rFonts w:hint="eastAsia" w:ascii="仿宋" w:hAnsi="仿宋" w:eastAsia="仿宋" w:cs="仿宋"/>
                <w:color w:val="auto"/>
                <w:szCs w:val="21"/>
                <w:highlight w:val="none"/>
              </w:rPr>
              <w:t>保证草坪施肥1-2次/月</w:t>
            </w:r>
          </w:p>
        </w:tc>
        <w:tc>
          <w:tcPr>
            <w:tcW w:w="1012" w:type="dxa"/>
            <w:vMerge w:val="continue"/>
            <w:vAlign w:val="center"/>
          </w:tcPr>
          <w:p w14:paraId="45E455A4">
            <w:pPr>
              <w:jc w:val="center"/>
              <w:rPr>
                <w:rFonts w:ascii="仿宋" w:hAnsi="仿宋" w:eastAsia="仿宋" w:cs="仿宋"/>
                <w:bCs/>
                <w:color w:val="auto"/>
                <w:szCs w:val="21"/>
                <w:highlight w:val="none"/>
              </w:rPr>
            </w:pPr>
          </w:p>
        </w:tc>
      </w:tr>
      <w:tr w14:paraId="4E4FB88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59DFB251">
            <w:pPr>
              <w:jc w:val="center"/>
              <w:rPr>
                <w:rFonts w:ascii="仿宋" w:hAnsi="仿宋" w:eastAsia="仿宋" w:cs="仿宋"/>
                <w:color w:val="auto"/>
                <w:szCs w:val="21"/>
                <w:highlight w:val="none"/>
              </w:rPr>
            </w:pPr>
          </w:p>
        </w:tc>
        <w:tc>
          <w:tcPr>
            <w:tcW w:w="906" w:type="dxa"/>
            <w:vMerge w:val="continue"/>
            <w:vAlign w:val="center"/>
          </w:tcPr>
          <w:p w14:paraId="4751A4D4">
            <w:pPr>
              <w:jc w:val="center"/>
              <w:rPr>
                <w:rFonts w:ascii="仿宋" w:hAnsi="仿宋" w:eastAsia="仿宋" w:cs="仿宋"/>
                <w:color w:val="auto"/>
                <w:szCs w:val="21"/>
                <w:highlight w:val="none"/>
              </w:rPr>
            </w:pPr>
          </w:p>
        </w:tc>
        <w:tc>
          <w:tcPr>
            <w:tcW w:w="5792" w:type="dxa"/>
            <w:tcMar>
              <w:top w:w="17" w:type="dxa"/>
              <w:left w:w="17" w:type="dxa"/>
              <w:bottom w:w="0" w:type="dxa"/>
              <w:right w:w="17" w:type="dxa"/>
            </w:tcMar>
            <w:vAlign w:val="bottom"/>
          </w:tcPr>
          <w:p w14:paraId="659CC638">
            <w:pPr>
              <w:rPr>
                <w:rFonts w:ascii="仿宋" w:hAnsi="仿宋" w:eastAsia="仿宋" w:cs="仿宋"/>
                <w:color w:val="auto"/>
                <w:szCs w:val="21"/>
                <w:highlight w:val="none"/>
              </w:rPr>
            </w:pPr>
            <w:r>
              <w:rPr>
                <w:rFonts w:hint="eastAsia" w:ascii="仿宋" w:hAnsi="仿宋" w:eastAsia="仿宋" w:cs="仿宋"/>
                <w:color w:val="auto"/>
                <w:szCs w:val="21"/>
                <w:highlight w:val="none"/>
              </w:rPr>
              <w:t>每年5-10月份保证浇水4-5次/周，11-4月份3-4次/周（下雨天气可减少）</w:t>
            </w:r>
          </w:p>
        </w:tc>
        <w:tc>
          <w:tcPr>
            <w:tcW w:w="1012" w:type="dxa"/>
            <w:vMerge w:val="continue"/>
            <w:vAlign w:val="center"/>
          </w:tcPr>
          <w:p w14:paraId="1689CC8A">
            <w:pPr>
              <w:jc w:val="center"/>
              <w:rPr>
                <w:rFonts w:ascii="仿宋" w:hAnsi="仿宋" w:eastAsia="仿宋" w:cs="仿宋"/>
                <w:bCs/>
                <w:color w:val="auto"/>
                <w:szCs w:val="21"/>
                <w:highlight w:val="none"/>
              </w:rPr>
            </w:pPr>
          </w:p>
        </w:tc>
      </w:tr>
      <w:tr w14:paraId="4A2A28F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5E8CF7A4">
            <w:pPr>
              <w:jc w:val="center"/>
              <w:rPr>
                <w:rFonts w:ascii="仿宋" w:hAnsi="仿宋" w:eastAsia="仿宋" w:cs="仿宋"/>
                <w:color w:val="auto"/>
                <w:szCs w:val="21"/>
                <w:highlight w:val="none"/>
              </w:rPr>
            </w:pPr>
          </w:p>
        </w:tc>
        <w:tc>
          <w:tcPr>
            <w:tcW w:w="906" w:type="dxa"/>
            <w:vMerge w:val="restart"/>
            <w:vAlign w:val="center"/>
          </w:tcPr>
          <w:p w14:paraId="7290546F">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病虫害</w:t>
            </w:r>
          </w:p>
          <w:p w14:paraId="5205572F">
            <w:pPr>
              <w:jc w:val="center"/>
              <w:rPr>
                <w:rFonts w:ascii="仿宋" w:hAnsi="仿宋" w:eastAsia="仿宋" w:cs="仿宋"/>
                <w:color w:val="auto"/>
                <w:szCs w:val="21"/>
                <w:highlight w:val="none"/>
              </w:rPr>
            </w:pPr>
            <w:r>
              <w:rPr>
                <w:rFonts w:hint="eastAsia" w:ascii="仿宋" w:hAnsi="仿宋" w:eastAsia="仿宋" w:cs="仿宋"/>
                <w:color w:val="auto"/>
                <w:szCs w:val="21"/>
                <w:highlight w:val="none"/>
              </w:rPr>
              <w:t>控制</w:t>
            </w:r>
          </w:p>
          <w:p w14:paraId="456A6BF6">
            <w:pPr>
              <w:jc w:val="center"/>
              <w:rPr>
                <w:rFonts w:ascii="仿宋" w:hAnsi="仿宋" w:eastAsia="仿宋" w:cs="仿宋"/>
                <w:color w:val="auto"/>
                <w:szCs w:val="21"/>
                <w:highlight w:val="none"/>
              </w:rPr>
            </w:pPr>
          </w:p>
        </w:tc>
        <w:tc>
          <w:tcPr>
            <w:tcW w:w="5792" w:type="dxa"/>
            <w:tcMar>
              <w:top w:w="17" w:type="dxa"/>
              <w:left w:w="17" w:type="dxa"/>
              <w:bottom w:w="0" w:type="dxa"/>
              <w:right w:w="17" w:type="dxa"/>
            </w:tcMar>
          </w:tcPr>
          <w:p w14:paraId="650206E4">
            <w:pPr>
              <w:rPr>
                <w:rFonts w:ascii="仿宋" w:hAnsi="仿宋" w:eastAsia="仿宋" w:cs="仿宋"/>
                <w:color w:val="auto"/>
                <w:szCs w:val="21"/>
                <w:highlight w:val="none"/>
              </w:rPr>
            </w:pPr>
            <w:r>
              <w:rPr>
                <w:rFonts w:hint="eastAsia" w:ascii="仿宋" w:hAnsi="仿宋" w:eastAsia="仿宋" w:cs="仿宋"/>
                <w:color w:val="auto"/>
                <w:szCs w:val="21"/>
                <w:highlight w:val="none"/>
              </w:rPr>
              <w:t>针对不同的品种和季节进行病虫害消杀，每月进行一次全面预防性消杀，并有完整的消杀记录。</w:t>
            </w:r>
          </w:p>
        </w:tc>
        <w:tc>
          <w:tcPr>
            <w:tcW w:w="1012" w:type="dxa"/>
            <w:vMerge w:val="restart"/>
            <w:vAlign w:val="center"/>
          </w:tcPr>
          <w:p w14:paraId="303200E6">
            <w:pPr>
              <w:jc w:val="center"/>
              <w:rPr>
                <w:rFonts w:ascii="仿宋" w:hAnsi="仿宋" w:eastAsia="仿宋" w:cs="仿宋"/>
                <w:bCs/>
                <w:color w:val="auto"/>
                <w:szCs w:val="21"/>
                <w:highlight w:val="none"/>
              </w:rPr>
            </w:pPr>
            <w:r>
              <w:rPr>
                <w:rFonts w:hint="eastAsia" w:ascii="仿宋" w:hAnsi="仿宋" w:eastAsia="仿宋" w:cs="仿宋"/>
                <w:color w:val="auto"/>
                <w:szCs w:val="21"/>
                <w:highlight w:val="none"/>
              </w:rPr>
              <w:t>每出现一次不合格，扣</w:t>
            </w:r>
            <w:r>
              <w:rPr>
                <w:rFonts w:hint="eastAsia" w:ascii="仿宋" w:hAnsi="仿宋" w:eastAsia="仿宋" w:cs="仿宋"/>
                <w:bCs/>
                <w:color w:val="auto"/>
                <w:szCs w:val="21"/>
                <w:highlight w:val="none"/>
              </w:rPr>
              <w:t>0.5</w:t>
            </w:r>
            <w:r>
              <w:rPr>
                <w:rFonts w:hint="eastAsia" w:ascii="仿宋" w:hAnsi="仿宋" w:eastAsia="仿宋" w:cs="仿宋"/>
                <w:color w:val="auto"/>
                <w:szCs w:val="21"/>
                <w:highlight w:val="none"/>
              </w:rPr>
              <w:t>分</w:t>
            </w:r>
          </w:p>
        </w:tc>
      </w:tr>
      <w:tr w14:paraId="65D7EF0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3626802F">
            <w:pPr>
              <w:jc w:val="center"/>
              <w:rPr>
                <w:rFonts w:ascii="仿宋" w:hAnsi="仿宋" w:eastAsia="仿宋" w:cs="仿宋"/>
                <w:color w:val="auto"/>
                <w:szCs w:val="21"/>
                <w:highlight w:val="none"/>
              </w:rPr>
            </w:pPr>
          </w:p>
        </w:tc>
        <w:tc>
          <w:tcPr>
            <w:tcW w:w="906" w:type="dxa"/>
            <w:vMerge w:val="continue"/>
            <w:vAlign w:val="center"/>
          </w:tcPr>
          <w:p w14:paraId="5B550491">
            <w:pPr>
              <w:jc w:val="center"/>
              <w:rPr>
                <w:rFonts w:ascii="仿宋" w:hAnsi="仿宋" w:eastAsia="仿宋" w:cs="仿宋"/>
                <w:color w:val="auto"/>
                <w:szCs w:val="21"/>
                <w:highlight w:val="none"/>
              </w:rPr>
            </w:pPr>
          </w:p>
        </w:tc>
        <w:tc>
          <w:tcPr>
            <w:tcW w:w="5792" w:type="dxa"/>
            <w:tcMar>
              <w:top w:w="17" w:type="dxa"/>
              <w:left w:w="17" w:type="dxa"/>
              <w:bottom w:w="0" w:type="dxa"/>
              <w:right w:w="17" w:type="dxa"/>
            </w:tcMar>
          </w:tcPr>
          <w:p w14:paraId="4C1B7197">
            <w:pPr>
              <w:rPr>
                <w:rFonts w:ascii="仿宋" w:hAnsi="仿宋" w:eastAsia="仿宋" w:cs="仿宋"/>
                <w:color w:val="auto"/>
                <w:szCs w:val="21"/>
                <w:highlight w:val="none"/>
              </w:rPr>
            </w:pPr>
            <w:r>
              <w:rPr>
                <w:rFonts w:hint="eastAsia" w:ascii="仿宋" w:hAnsi="仿宋" w:eastAsia="仿宋" w:cs="仿宋"/>
                <w:color w:val="auto"/>
                <w:szCs w:val="21"/>
                <w:highlight w:val="none"/>
              </w:rPr>
              <w:t>绿化苗木无普遍性病害，病虫危害率不超过8%，单株受害率不超过8%</w:t>
            </w:r>
          </w:p>
        </w:tc>
        <w:tc>
          <w:tcPr>
            <w:tcW w:w="1012" w:type="dxa"/>
            <w:vMerge w:val="continue"/>
            <w:vAlign w:val="center"/>
          </w:tcPr>
          <w:p w14:paraId="34C55E01">
            <w:pPr>
              <w:jc w:val="center"/>
              <w:rPr>
                <w:rFonts w:ascii="仿宋" w:hAnsi="仿宋" w:eastAsia="仿宋" w:cs="仿宋"/>
                <w:bCs/>
                <w:color w:val="auto"/>
                <w:szCs w:val="21"/>
                <w:highlight w:val="none"/>
              </w:rPr>
            </w:pPr>
          </w:p>
        </w:tc>
      </w:tr>
      <w:tr w14:paraId="3C771E3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373D6E7A">
            <w:pPr>
              <w:jc w:val="center"/>
              <w:rPr>
                <w:rFonts w:ascii="仿宋" w:hAnsi="仿宋" w:eastAsia="仿宋" w:cs="仿宋"/>
                <w:color w:val="auto"/>
                <w:szCs w:val="21"/>
                <w:highlight w:val="none"/>
              </w:rPr>
            </w:pPr>
          </w:p>
        </w:tc>
        <w:tc>
          <w:tcPr>
            <w:tcW w:w="906" w:type="dxa"/>
            <w:vMerge w:val="continue"/>
            <w:vAlign w:val="center"/>
          </w:tcPr>
          <w:p w14:paraId="49E4ACC6">
            <w:pPr>
              <w:jc w:val="center"/>
              <w:rPr>
                <w:rFonts w:ascii="仿宋" w:hAnsi="仿宋" w:eastAsia="仿宋" w:cs="仿宋"/>
                <w:color w:val="auto"/>
                <w:szCs w:val="21"/>
                <w:highlight w:val="none"/>
              </w:rPr>
            </w:pPr>
          </w:p>
        </w:tc>
        <w:tc>
          <w:tcPr>
            <w:tcW w:w="5792" w:type="dxa"/>
            <w:tcMar>
              <w:top w:w="17" w:type="dxa"/>
              <w:left w:w="17" w:type="dxa"/>
              <w:bottom w:w="0" w:type="dxa"/>
              <w:right w:w="17" w:type="dxa"/>
            </w:tcMar>
          </w:tcPr>
          <w:p w14:paraId="25079019">
            <w:pPr>
              <w:rPr>
                <w:rFonts w:ascii="仿宋" w:hAnsi="仿宋" w:eastAsia="仿宋" w:cs="仿宋"/>
                <w:color w:val="auto"/>
                <w:szCs w:val="21"/>
                <w:highlight w:val="none"/>
              </w:rPr>
            </w:pPr>
            <w:r>
              <w:rPr>
                <w:rFonts w:hint="eastAsia" w:ascii="仿宋" w:hAnsi="仿宋" w:eastAsia="仿宋" w:cs="仿宋"/>
                <w:color w:val="auto"/>
                <w:szCs w:val="21"/>
                <w:highlight w:val="none"/>
              </w:rPr>
              <w:t>病虫枝及时修剪，并妥善处理</w:t>
            </w:r>
          </w:p>
        </w:tc>
        <w:tc>
          <w:tcPr>
            <w:tcW w:w="1012" w:type="dxa"/>
            <w:vMerge w:val="continue"/>
            <w:vAlign w:val="center"/>
          </w:tcPr>
          <w:p w14:paraId="7CEBAB8D">
            <w:pPr>
              <w:jc w:val="center"/>
              <w:rPr>
                <w:rFonts w:ascii="仿宋" w:hAnsi="仿宋" w:eastAsia="仿宋" w:cs="仿宋"/>
                <w:bCs/>
                <w:color w:val="auto"/>
                <w:szCs w:val="21"/>
                <w:highlight w:val="none"/>
              </w:rPr>
            </w:pPr>
          </w:p>
        </w:tc>
      </w:tr>
      <w:tr w14:paraId="238D026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0" w:type="dxa"/>
            <w:bottom w:w="0" w:type="dxa"/>
            <w:right w:w="0" w:type="dxa"/>
          </w:tblCellMar>
        </w:tblPrEx>
        <w:trPr>
          <w:cantSplit/>
          <w:trHeight w:val="285" w:hRule="atLeast"/>
          <w:jc w:val="center"/>
        </w:trPr>
        <w:tc>
          <w:tcPr>
            <w:tcW w:w="606" w:type="dxa"/>
            <w:vMerge w:val="continue"/>
            <w:vAlign w:val="center"/>
          </w:tcPr>
          <w:p w14:paraId="0A96DEB2">
            <w:pPr>
              <w:jc w:val="center"/>
              <w:rPr>
                <w:rFonts w:ascii="仿宋" w:hAnsi="仿宋" w:eastAsia="仿宋" w:cs="仿宋"/>
                <w:color w:val="auto"/>
                <w:szCs w:val="21"/>
                <w:highlight w:val="none"/>
              </w:rPr>
            </w:pPr>
          </w:p>
        </w:tc>
        <w:tc>
          <w:tcPr>
            <w:tcW w:w="906" w:type="dxa"/>
            <w:vMerge w:val="continue"/>
            <w:vAlign w:val="center"/>
          </w:tcPr>
          <w:p w14:paraId="0BD219B6">
            <w:pPr>
              <w:jc w:val="center"/>
              <w:rPr>
                <w:rFonts w:ascii="仿宋" w:hAnsi="仿宋" w:eastAsia="仿宋" w:cs="仿宋"/>
                <w:color w:val="auto"/>
                <w:szCs w:val="21"/>
                <w:highlight w:val="none"/>
              </w:rPr>
            </w:pPr>
          </w:p>
        </w:tc>
        <w:tc>
          <w:tcPr>
            <w:tcW w:w="5792" w:type="dxa"/>
            <w:tcMar>
              <w:top w:w="17" w:type="dxa"/>
              <w:left w:w="17" w:type="dxa"/>
              <w:bottom w:w="0" w:type="dxa"/>
              <w:right w:w="17" w:type="dxa"/>
            </w:tcMar>
          </w:tcPr>
          <w:p w14:paraId="26F1A5EA">
            <w:pPr>
              <w:rPr>
                <w:rFonts w:ascii="仿宋" w:hAnsi="仿宋" w:eastAsia="仿宋" w:cs="仿宋"/>
                <w:color w:val="auto"/>
                <w:szCs w:val="21"/>
                <w:highlight w:val="none"/>
              </w:rPr>
            </w:pPr>
            <w:r>
              <w:rPr>
                <w:rFonts w:hint="eastAsia" w:ascii="仿宋" w:hAnsi="仿宋" w:eastAsia="仿宋" w:cs="仿宋"/>
                <w:color w:val="auto"/>
                <w:szCs w:val="21"/>
                <w:highlight w:val="none"/>
              </w:rPr>
              <w:t>消杀员掌握消杀知识，药物选用、配比符合要求</w:t>
            </w:r>
          </w:p>
        </w:tc>
        <w:tc>
          <w:tcPr>
            <w:tcW w:w="1012" w:type="dxa"/>
            <w:vMerge w:val="continue"/>
            <w:vAlign w:val="center"/>
          </w:tcPr>
          <w:p w14:paraId="0AF3A3BF">
            <w:pPr>
              <w:jc w:val="center"/>
              <w:rPr>
                <w:rFonts w:ascii="仿宋" w:hAnsi="仿宋" w:eastAsia="仿宋" w:cs="仿宋"/>
                <w:b/>
                <w:bCs/>
                <w:color w:val="auto"/>
                <w:szCs w:val="21"/>
                <w:highlight w:val="none"/>
              </w:rPr>
            </w:pPr>
          </w:p>
        </w:tc>
      </w:tr>
    </w:tbl>
    <w:p w14:paraId="6B34D84B">
      <w:pPr>
        <w:pStyle w:val="3"/>
        <w:spacing w:after="156"/>
        <w:ind w:firstLine="420" w:firstLineChars="200"/>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每季度后勤管理相关部门按照服务考核标准要求进行一次服务质量满意度考核，并做好记录进行分析；考核结果低于85分的，每低1分按照2000元/分的标准扣罚，罚款从季度的服务费中扣除；考核结果低于65分时合同终止。合同终止后，该季度服务费甲方不予支付，乙方还须赔偿由此给甲方造成的全部损失。</w:t>
      </w:r>
      <w:bookmarkEnd w:id="0"/>
      <w:bookmarkEnd w:id="1"/>
      <w:bookmarkEnd w:id="2"/>
      <w:bookmarkEnd w:id="3"/>
      <w:bookmarkEnd w:id="4"/>
      <w:bookmarkEnd w:id="5"/>
      <w:bookmarkEnd w:id="6"/>
      <w:bookmarkEnd w:id="7"/>
      <w:bookmarkEnd w:id="8"/>
    </w:p>
    <w:p w14:paraId="2B25739C">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A54793"/>
    <w:rsid w:val="3761713E"/>
    <w:rsid w:val="74A973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Light" w:hAnsi="Calibri Light" w:eastAsia="华文仿宋" w:cs="Times New Roman"/>
      <w:kern w:val="2"/>
      <w:sz w:val="21"/>
      <w:szCs w:val="24"/>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widowControl/>
      <w:spacing w:afterLines="50" w:line="360" w:lineRule="auto"/>
    </w:pPr>
    <w:rPr>
      <w:rFonts w:ascii="宋体" w:hAnsi="宋体" w:cs="Calibri Light"/>
      <w:color w:val="000000"/>
      <w:sz w:val="24"/>
      <w:szCs w:val="28"/>
    </w:rPr>
  </w:style>
  <w:style w:type="paragraph" w:styleId="6">
    <w:name w:val="List Paragraph"/>
    <w:basedOn w:val="1"/>
    <w:qFormat/>
    <w:uiPriority w:val="34"/>
    <w:pPr>
      <w:widowControl/>
      <w:spacing w:line="400" w:lineRule="exact"/>
      <w:ind w:firstLine="420" w:firstLineChars="200"/>
    </w:pPr>
    <w:rPr>
      <w:rFonts w:cs="Calibri Light"/>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2024-10-25T08:19:00Z</dcterms:created>
  <dc:creator>Administrator</dc:creator>
  <cp:lastModifiedBy>乞力马扎罗</cp:lastModifiedBy>
  <dcterms:modified xsi:type="dcterms:W3CDTF">2025-05-23T12:10:14Z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82E309729EB14BEA988F4B6A93795E2B_12</vt:lpwstr>
  </property>
  <property fmtid="{D5CDD505-2E9C-101B-9397-08002B2CF9AE}" pid="4" name="KSOTemplateDocerSaveRecord">
    <vt:lpwstr>eyJoZGlkIjoiMTkyMWE3Njc3MTUxMjFlMzIwNmIwNWNiZjMyYjEyZjgiLCJ1c2VySWQiOiIyOTc0OTQxMjEifQ==</vt:lpwstr>
  </property>
</Properties>
</file>