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版本号：CT-ZB00-118-202520250523001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行政复议案卷装订项目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CT-ZB00-118-2025</w:t>
      </w:r>
      <w:r>
        <w:br/>
      </w:r>
      <w:r>
        <w:br/>
      </w:r>
      <w:r>
        <w:br/>
      </w:r>
    </w:p>
    <w:p>
      <w:pPr>
        <w:pStyle w:val="null3"/>
        <w:jc w:val="center"/>
        <w:outlineLvl w:val="2"/>
      </w:pPr>
      <w:r>
        <w:rPr>
          <w:rFonts w:ascii="仿宋_GB2312" w:hAnsi="仿宋_GB2312" w:cs="仿宋_GB2312" w:eastAsia="仿宋_GB2312"/>
          <w:sz w:val="28"/>
          <w:b/>
        </w:rPr>
        <w:t>西安市司法局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西安市司法局</w:t>
      </w:r>
      <w:r>
        <w:rPr>
          <w:rFonts w:ascii="仿宋_GB2312" w:hAnsi="仿宋_GB2312" w:cs="仿宋_GB2312" w:eastAsia="仿宋_GB2312"/>
        </w:rPr>
        <w:t>委托，拟对</w:t>
      </w:r>
      <w:r>
        <w:rPr>
          <w:rFonts w:ascii="仿宋_GB2312" w:hAnsi="仿宋_GB2312" w:cs="仿宋_GB2312" w:eastAsia="仿宋_GB2312"/>
        </w:rPr>
        <w:t>行政复议案卷装订项目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CT-ZB00-118-2025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行政复议案卷装订项目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委托第三方装订公司对市本级行政复议案卷进行装订，实现行政复议案卷的标准化、规范化管理，提升行政复议案件办案质效，规范行政复议工作流程。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采购包1（行政复议案卷装订）：属于专门面向小微企业采购。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86788321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西安市司法局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西安市司法局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中昕国际项目管理有限公司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地址：陕西省西安经济技术开发区凤城十二路首创禧悦里25幢A座16层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委托第三方装订公司对市本级行政复议案卷进行装订，实现行政复议案卷的标准化、规范化管理，提升行政复议案件办案质效，规范行政复议工作流程。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行政复议案卷装订</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标的名称：行政复议案卷装订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ind w:left="120"/>
            </w:pPr>
            <w:r>
              <w:rPr>
                <w:rFonts w:ascii="仿宋_GB2312" w:hAnsi="仿宋_GB2312" w:cs="仿宋_GB2312" w:eastAsia="仿宋_GB2312"/>
                <w:sz w:val="21"/>
                <w:color w:val="000000"/>
              </w:rPr>
              <w:t>采购内容：委托第三方装订公司对市本级行政复议案卷进行装订。</w:t>
            </w:r>
            <w:r>
              <w:br/>
            </w:r>
            <w:r>
              <w:rPr>
                <w:rFonts w:ascii="仿宋_GB2312" w:hAnsi="仿宋_GB2312" w:cs="仿宋_GB2312" w:eastAsia="仿宋_GB2312"/>
                <w:sz w:val="21"/>
                <w:color w:val="000000"/>
              </w:rPr>
              <w:t xml:space="preserve"> 主要功能或目标：实现行政复议案卷的标准化、规范化管理，提升行政复议案件办案质效，规范行政复议工作流程。</w:t>
            </w:r>
            <w:r>
              <w:br/>
            </w:r>
            <w:r>
              <w:rPr>
                <w:rFonts w:ascii="仿宋_GB2312" w:hAnsi="仿宋_GB2312" w:cs="仿宋_GB2312" w:eastAsia="仿宋_GB2312"/>
                <w:sz w:val="21"/>
                <w:color w:val="000000"/>
              </w:rPr>
              <w:t xml:space="preserve"> 需满足的需求：按照《西安市行政复议档案管理办法》以及上级部门关于行政复议案卷评查的相关标准进行装订，包括正卷、副卷和电子卷。</w:t>
            </w:r>
          </w:p>
          <w:p>
            <w:pPr>
              <w:pStyle w:val="null3"/>
              <w:spacing w:before="15"/>
              <w:ind w:left="120"/>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自合同签订之日起一个月内（具体以采购人要求为准）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（1）服务质量必须与合同要求一致，未按合同或采购文件要求提供服务或服务质量不能满足采购人要求，采购单位有权终止合同，甚至对供应商违约行为进行追究；（2）验收依据： ①谈判文件、响应文件、澄清表（函）；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的服务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