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版本号：ZXZB-CG2025-18620250525002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机关食堂包厨服务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ZXZB-CG2025-186</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陕西中信项目咨询有限公司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陕西中信项目咨询有限公司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机关食堂包厨服务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ZXZB-CG2025-186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机关食堂包厨服务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提供机关食堂包厨服务，负责以分餐制的形式供应早午餐、桌饭形式的会议餐、公务接待餐及其他临时用餐。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采购包1（机关食堂包厨服务）：属于专门面向中小企业采购。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3、具有履行合同所必需的设备和专业技术能力：提供具有履行合同所必需的设备和专业技术能力的承诺书。</w:t>
      </w:r>
    </w:p>
    <w:p>
      <w:pPr>
        <w:pStyle w:val="null3"/>
      </w:pPr>
      <w:r>
        <w:rPr>
          <w:rFonts w:ascii="仿宋_GB2312" w:hAnsi="仿宋_GB2312" w:cs="仿宋_GB2312" w:eastAsia="仿宋_GB2312"/>
        </w:rPr>
        <w:t>4、有依法缴纳税收的良好记录：提供2024年5月至今已缴纳的至少一个月的纳税证明或完税证明，依法免税的单位应提供相关证明材料。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p>
      <w:pPr>
        <w:pStyle w:val="null3"/>
      </w:pPr>
      <w:r>
        <w:rPr>
          <w:rFonts w:ascii="仿宋_GB2312" w:hAnsi="仿宋_GB2312" w:cs="仿宋_GB2312" w:eastAsia="仿宋_GB2312"/>
        </w:rPr>
        <w:t>7、法定代表人（主要负责人）身份证明/授权委托书：法定代表人（主要负责人）参与磋商时，提供法定代表人（主要负责人）身份证明；授权代表参与磋商时，提供法定代表人（主要负责人）授权委托书。</w:t>
      </w:r>
    </w:p>
    <w:p>
      <w:pPr>
        <w:pStyle w:val="null3"/>
      </w:pPr>
      <w:r>
        <w:rPr>
          <w:rFonts w:ascii="仿宋_GB2312" w:hAnsi="仿宋_GB2312" w:cs="仿宋_GB2312" w:eastAsia="仿宋_GB2312"/>
        </w:rPr>
        <w:t>8、具有有效的《食品经营许可证》：提供有效的《食品经营许可证》。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西安市未央区浐灞大道2331号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常伊乐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陕西省西安市碑林区和平路71号综合楼5楼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孔仙、贾雅楠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029-87216602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收取。 收款账户信息： 开户名称：陕西中信项目咨询有限公司 开户银行：农业银行西安新欧亚商城支行 账 号：2613 5301 0400 10159 交纳时注明：项目编号+代理服务费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陕西中信项目咨询有限公司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（6）履约验收程序：一次性验收 （7）履约验收时间： 供应商提出验收申请之日起7日内组织验收 （8）验收组织的其他事项：按照合同约定执行。 （9）技术履约验收内容：根据采购文件的技术、服务要求进行技术履约验收。 （10）商务履约验收内容：根据采购文件的商务要求进行商务履约验收。 （11）履约验收标准：按照采购文件要求、国家及相关行业标准执行。 （12）履约验收其他事项：按照合同约定执行。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联系人：孔仙</w:t>
      </w:r>
    </w:p>
    <w:p>
      <w:pPr>
        <w:pStyle w:val="null3"/>
      </w:pPr>
      <w:r>
        <w:rPr>
          <w:rFonts w:ascii="仿宋_GB2312" w:hAnsi="仿宋_GB2312" w:cs="仿宋_GB2312" w:eastAsia="仿宋_GB2312"/>
        </w:rPr>
        <w:t>联系电话：029-87216602</w:t>
      </w:r>
    </w:p>
    <w:p>
      <w:pPr>
        <w:pStyle w:val="null3"/>
      </w:pPr>
      <w:r>
        <w:rPr>
          <w:rFonts w:ascii="仿宋_GB2312" w:hAnsi="仿宋_GB2312" w:cs="仿宋_GB2312" w:eastAsia="仿宋_GB2312"/>
        </w:rPr>
        <w:t>地址：陕西省西安市碑林区和平路71号综合楼5楼505室</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提供机关食堂包厨服务，负责以分餐制的形式供应早午餐、桌饭形式的会议餐、公务接待餐及其他临时用餐。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机关食堂包厨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标的名称：机关食堂包厨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一、餐厅服务：</w:t>
            </w:r>
          </w:p>
          <w:p>
            <w:pPr>
              <w:pStyle w:val="null3"/>
              <w:jc w:val="left"/>
            </w:pPr>
            <w:r>
              <w:rPr>
                <w:rFonts w:ascii="仿宋_GB2312" w:hAnsi="仿宋_GB2312" w:cs="仿宋_GB2312" w:eastAsia="仿宋_GB2312"/>
                <w:sz w:val="21"/>
              </w:rPr>
              <w:t>负责以分餐制的形式供应早午餐、桌饭形式的会议餐、公务接待餐及其他临时用餐。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1）供餐人数：院机关就餐人数约350人。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2）供餐时间：</w:t>
            </w:r>
          </w:p>
          <w:p>
            <w:pPr>
              <w:pStyle w:val="null3"/>
              <w:jc w:val="left"/>
            </w:pPr>
            <w:r>
              <w:rPr>
                <w:rFonts w:ascii="仿宋_GB2312" w:hAnsi="仿宋_GB2312" w:cs="仿宋_GB2312" w:eastAsia="仿宋_GB2312"/>
                <w:sz w:val="21"/>
              </w:rPr>
              <w:t>工作日供餐：</w:t>
            </w:r>
          </w:p>
          <w:p>
            <w:pPr>
              <w:pStyle w:val="null3"/>
              <w:jc w:val="left"/>
            </w:pPr>
            <w:r>
              <w:rPr>
                <w:rFonts w:ascii="仿宋_GB2312" w:hAnsi="仿宋_GB2312" w:cs="仿宋_GB2312" w:eastAsia="仿宋_GB2312"/>
                <w:sz w:val="21"/>
              </w:rPr>
              <w:t>早餐：</w:t>
            </w:r>
            <w:r>
              <w:rPr>
                <w:rFonts w:ascii="仿宋_GB2312" w:hAnsi="仿宋_GB2312" w:cs="仿宋_GB2312" w:eastAsia="仿宋_GB2312"/>
                <w:sz w:val="21"/>
              </w:rPr>
              <w:t>07:30-08:50；自助餐形式，标准不少于三个菜品。</w:t>
            </w:r>
          </w:p>
          <w:p>
            <w:pPr>
              <w:pStyle w:val="null3"/>
              <w:jc w:val="left"/>
            </w:pPr>
            <w:r>
              <w:rPr>
                <w:rFonts w:ascii="仿宋_GB2312" w:hAnsi="仿宋_GB2312" w:cs="仿宋_GB2312" w:eastAsia="仿宋_GB2312"/>
                <w:sz w:val="21"/>
              </w:rPr>
              <w:t>午餐：</w:t>
            </w:r>
            <w:r>
              <w:rPr>
                <w:rFonts w:ascii="仿宋_GB2312" w:hAnsi="仿宋_GB2312" w:cs="仿宋_GB2312" w:eastAsia="仿宋_GB2312"/>
                <w:sz w:val="21"/>
              </w:rPr>
              <w:t>12:00-13:00；四菜（两荤两素）一汤，或特色面食，及时令水果。</w:t>
            </w:r>
          </w:p>
          <w:p>
            <w:pPr>
              <w:pStyle w:val="null3"/>
              <w:jc w:val="left"/>
            </w:pPr>
            <w:r>
              <w:rPr>
                <w:rFonts w:ascii="仿宋_GB2312" w:hAnsi="仿宋_GB2312" w:cs="仿宋_GB2312" w:eastAsia="仿宋_GB2312"/>
                <w:sz w:val="21"/>
              </w:rPr>
              <w:t>接待餐：按采购方实际通知时间为准。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3）供餐模式：</w:t>
            </w:r>
          </w:p>
          <w:p>
            <w:pPr>
              <w:pStyle w:val="null3"/>
              <w:jc w:val="left"/>
            </w:pPr>
            <w:r>
              <w:rPr>
                <w:rFonts w:ascii="仿宋_GB2312" w:hAnsi="仿宋_GB2312" w:cs="仿宋_GB2312" w:eastAsia="仿宋_GB2312"/>
                <w:sz w:val="21"/>
              </w:rPr>
              <w:t>负责以分餐制的形式供应早午餐</w:t>
            </w:r>
            <w:r>
              <w:rPr>
                <w:rFonts w:ascii="仿宋_GB2312" w:hAnsi="仿宋_GB2312" w:cs="仿宋_GB2312" w:eastAsia="仿宋_GB2312"/>
                <w:sz w:val="21"/>
              </w:rPr>
              <w:t>、</w:t>
            </w:r>
            <w:r>
              <w:rPr>
                <w:rFonts w:ascii="仿宋_GB2312" w:hAnsi="仿宋_GB2312" w:cs="仿宋_GB2312" w:eastAsia="仿宋_GB2312"/>
                <w:sz w:val="21"/>
              </w:rPr>
              <w:t>桌饭形式的会议餐、公务接待餐及其他临时用餐。</w:t>
            </w:r>
          </w:p>
          <w:p>
            <w:pPr>
              <w:pStyle w:val="null3"/>
              <w:jc w:val="left"/>
            </w:pPr>
            <w:r>
              <w:rPr>
                <w:rFonts w:ascii="仿宋_GB2312" w:hAnsi="仿宋_GB2312" w:cs="仿宋_GB2312" w:eastAsia="仿宋_GB2312"/>
                <w:sz w:val="21"/>
              </w:rPr>
              <w:t>根据采购人的工作餐标准，安排工作餐食谱；每周变换菜谱，经采购人审议后执行；凉热菜的比例可根据季节变化进行调整。</w:t>
            </w:r>
          </w:p>
          <w:p>
            <w:pPr>
              <w:pStyle w:val="null3"/>
              <w:jc w:val="left"/>
            </w:pPr>
            <w:r>
              <w:rPr>
                <w:rFonts w:ascii="仿宋_GB2312" w:hAnsi="仿宋_GB2312" w:cs="仿宋_GB2312" w:eastAsia="仿宋_GB2312"/>
                <w:sz w:val="21"/>
              </w:rPr>
              <w:t>会议餐和公务加代餐制定相应菜谱，经采购人审核同意后执行。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4）服务商负责餐厅厨具餐具等固定资产使用保管等。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5）服务商负责每天对原物料进行验货、贮存、保鲜。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6）服务商负责各种饭菜的加工制作，保证食品质量、卫生。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7）服务商负责分餐、就餐服务及餐具清洗、消毒。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8）服务商负责餐厅所有区域及配套设施的卫生清洁及消毒。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9）餐厅员工持健康证上岗，保证饭菜卫生各项指标达标。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10）操作流程应节俭节约，餐厅物品应爱护使用，损坏赔偿。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11）采购人提供餐厅场地、厨房所有设备、厨具餐具及承担水、电、气及食材采购费用。</w:t>
            </w:r>
          </w:p>
          <w:p>
            <w:pPr>
              <w:pStyle w:val="null3"/>
              <w:jc w:val="left"/>
            </w:pPr>
            <w:r>
              <w:rPr>
                <w:rFonts w:ascii="仿宋_GB2312" w:hAnsi="仿宋_GB2312" w:cs="仿宋_GB2312" w:eastAsia="仿宋_GB2312"/>
                <w:sz w:val="21"/>
              </w:rPr>
              <w:t>二、餐厅人员岗位配置</w:t>
            </w:r>
          </w:p>
          <w:tbl>
            <w:tblPr>
              <w:tblInd w:type="dxa" w:w="105"/>
              <w:tblBorders>
                <w:top w:val="none" w:color="000000" w:sz="4"/>
                <w:left w:val="none" w:color="000000" w:sz="4"/>
                <w:bottom w:val="none" w:color="000000" w:sz="4"/>
                <w:right w:val="none" w:color="000000" w:sz="4"/>
                <w:insideH w:val="none"/>
                <w:insideV w:val="none"/>
              </w:tblBorders>
            </w:tblPr>
            <w:tblGrid>
              <w:gridCol w:w="254"/>
              <w:gridCol w:w="584"/>
              <w:gridCol w:w="309"/>
              <w:gridCol w:w="1403"/>
            </w:tblGrid>
            <w:tr>
              <w:tc>
                <w:tcPr>
                  <w:tcW w:type="dxa" w:w="25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序号</w:t>
                  </w:r>
                </w:p>
              </w:tc>
              <w:tc>
                <w:tcPr>
                  <w:tcW w:type="dxa" w:w="58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分项名称</w:t>
                  </w:r>
                  <w:r>
                    <w:rPr>
                      <w:rFonts w:ascii="仿宋_GB2312" w:hAnsi="仿宋_GB2312" w:cs="仿宋_GB2312" w:eastAsia="仿宋_GB2312"/>
                      <w:sz w:val="21"/>
                    </w:rPr>
                    <w:t>/类别</w:t>
                  </w:r>
                </w:p>
              </w:tc>
              <w:tc>
                <w:tcPr>
                  <w:tcW w:type="dxa" w:w="30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数量</w:t>
                  </w:r>
                </w:p>
              </w:tc>
              <w:tc>
                <w:tcPr>
                  <w:tcW w:type="dxa" w:w="140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备注</w:t>
                  </w:r>
                </w:p>
              </w:tc>
            </w:tr>
            <w:tr>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5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厨师长</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14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具有三级以上（含三级）中式烹调师证书，持有健康证。</w:t>
                  </w:r>
                </w:p>
              </w:tc>
            </w:tr>
            <w:tr>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2</w:t>
                  </w:r>
                </w:p>
              </w:tc>
              <w:tc>
                <w:tcPr>
                  <w:tcW w:type="dxa" w:w="5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面点主案</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w:t>
                  </w:r>
                </w:p>
              </w:tc>
              <w:tc>
                <w:tcPr>
                  <w:tcW w:type="dxa" w:w="14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具有三级以上（含三级）中式面点师证书，持有健康证。</w:t>
                  </w:r>
                </w:p>
              </w:tc>
            </w:tr>
            <w:tr>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3</w:t>
                  </w:r>
                </w:p>
              </w:tc>
              <w:tc>
                <w:tcPr>
                  <w:tcW w:type="dxa" w:w="5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厨师</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2</w:t>
                  </w:r>
                </w:p>
              </w:tc>
              <w:tc>
                <w:tcPr>
                  <w:tcW w:type="dxa" w:w="14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具有四级以上（含四级）中式烹调师证书，持有健康证。</w:t>
                  </w:r>
                </w:p>
              </w:tc>
            </w:tr>
            <w:tr>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4</w:t>
                  </w:r>
                </w:p>
              </w:tc>
              <w:tc>
                <w:tcPr>
                  <w:tcW w:type="dxa" w:w="5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帮厨（副厨）</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3</w:t>
                  </w:r>
                </w:p>
              </w:tc>
              <w:tc>
                <w:tcPr>
                  <w:tcW w:type="dxa" w:w="14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持有健康证，年龄在</w:t>
                  </w:r>
                  <w:r>
                    <w:rPr>
                      <w:rFonts w:ascii="仿宋_GB2312" w:hAnsi="仿宋_GB2312" w:cs="仿宋_GB2312" w:eastAsia="仿宋_GB2312"/>
                      <w:sz w:val="21"/>
                    </w:rPr>
                    <w:t>50岁以下。</w:t>
                  </w:r>
                </w:p>
              </w:tc>
            </w:tr>
            <w:tr>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5</w:t>
                  </w:r>
                </w:p>
              </w:tc>
              <w:tc>
                <w:tcPr>
                  <w:tcW w:type="dxa" w:w="5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洗消工</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3</w:t>
                  </w:r>
                </w:p>
              </w:tc>
              <w:tc>
                <w:tcPr>
                  <w:tcW w:type="dxa" w:w="14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持有健康证，年龄在</w:t>
                  </w:r>
                  <w:r>
                    <w:rPr>
                      <w:rFonts w:ascii="仿宋_GB2312" w:hAnsi="仿宋_GB2312" w:cs="仿宋_GB2312" w:eastAsia="仿宋_GB2312"/>
                      <w:sz w:val="21"/>
                    </w:rPr>
                    <w:t>50岁以下。</w:t>
                  </w:r>
                </w:p>
              </w:tc>
            </w:tr>
            <w:tr>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6</w:t>
                  </w:r>
                </w:p>
              </w:tc>
              <w:tc>
                <w:tcPr>
                  <w:tcW w:type="dxa" w:w="5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服务员</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2</w:t>
                  </w:r>
                </w:p>
              </w:tc>
              <w:tc>
                <w:tcPr>
                  <w:tcW w:type="dxa" w:w="14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持有健康证，年龄在</w:t>
                  </w:r>
                  <w:r>
                    <w:rPr>
                      <w:rFonts w:ascii="仿宋_GB2312" w:hAnsi="仿宋_GB2312" w:cs="仿宋_GB2312" w:eastAsia="仿宋_GB2312"/>
                      <w:sz w:val="21"/>
                    </w:rPr>
                    <w:t>50岁以下。</w:t>
                  </w:r>
                </w:p>
              </w:tc>
            </w:tr>
            <w:tr>
              <w:tc>
                <w:tcPr>
                  <w:tcW w:type="dxa" w:w="25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p>
              </w:tc>
              <w:tc>
                <w:tcPr>
                  <w:tcW w:type="dxa" w:w="5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小计</w:t>
                  </w:r>
                </w:p>
              </w:tc>
              <w:tc>
                <w:tcPr>
                  <w:tcW w:type="dxa" w:w="30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12</w:t>
                  </w:r>
                </w:p>
              </w:tc>
              <w:tc>
                <w:tcPr>
                  <w:tcW w:type="dxa" w:w="14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550"/>
                  <w:gridSpan w:val="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b/>
                    </w:rPr>
                    <w:t>备注：以上人员配置为最低配置标准，应按要求提供相关证明资料扫描件加盖公章。</w:t>
                  </w:r>
                </w:p>
              </w:tc>
            </w:tr>
          </w:tbl>
          <w:p>
            <w:pPr>
              <w:pStyle w:val="null3"/>
              <w:jc w:val="left"/>
            </w:pPr>
            <w:r>
              <w:rPr>
                <w:rFonts w:ascii="仿宋_GB2312" w:hAnsi="仿宋_GB2312" w:cs="仿宋_GB2312" w:eastAsia="仿宋_GB2312"/>
                <w:sz w:val="21"/>
              </w:rPr>
              <w:t>三、服务要求</w:t>
            </w:r>
          </w:p>
          <w:p>
            <w:pPr>
              <w:pStyle w:val="null3"/>
              <w:jc w:val="left"/>
            </w:pPr>
            <w:r>
              <w:rPr>
                <w:rFonts w:ascii="仿宋_GB2312" w:hAnsi="仿宋_GB2312" w:cs="仿宋_GB2312" w:eastAsia="仿宋_GB2312"/>
                <w:sz w:val="21"/>
              </w:rPr>
              <w:t>1.供应商需选派具有相应资质的服务人员以确保服务的质量。</w:t>
            </w:r>
          </w:p>
          <w:p>
            <w:pPr>
              <w:pStyle w:val="null3"/>
              <w:jc w:val="left"/>
            </w:pPr>
            <w:r>
              <w:rPr>
                <w:rFonts w:ascii="仿宋_GB2312" w:hAnsi="仿宋_GB2312" w:cs="仿宋_GB2312" w:eastAsia="仿宋_GB2312"/>
                <w:sz w:val="21"/>
              </w:rPr>
              <w:t>2.根据有关法律、法规、合同的规定和采购人的要求制定服务方案、岗位职责以及有关服务管理制度，并报采购人批准。</w:t>
            </w:r>
          </w:p>
          <w:p>
            <w:pPr>
              <w:pStyle w:val="null3"/>
              <w:jc w:val="left"/>
            </w:pPr>
            <w:r>
              <w:rPr>
                <w:rFonts w:ascii="仿宋_GB2312" w:hAnsi="仿宋_GB2312" w:cs="仿宋_GB2312" w:eastAsia="仿宋_GB2312"/>
                <w:sz w:val="21"/>
              </w:rPr>
              <w:t>3.供应商应接受采购人的监督和地方政府卫生行政主管部门的监督指导。</w:t>
            </w:r>
          </w:p>
          <w:p>
            <w:pPr>
              <w:pStyle w:val="null3"/>
              <w:jc w:val="left"/>
            </w:pPr>
            <w:r>
              <w:rPr>
                <w:rFonts w:ascii="仿宋_GB2312" w:hAnsi="仿宋_GB2312" w:cs="仿宋_GB2312" w:eastAsia="仿宋_GB2312"/>
                <w:sz w:val="21"/>
              </w:rPr>
              <w:t>4.供应商在餐饮等所需物资处理、准备、贮存、餐具清洁及服务过程中都应严格遵守国家卫生标准，供应商还应同时遵守采购人有关卫生方面的规章与规定。</w:t>
            </w:r>
          </w:p>
          <w:p>
            <w:pPr>
              <w:pStyle w:val="null3"/>
              <w:jc w:val="left"/>
            </w:pPr>
            <w:r>
              <w:rPr>
                <w:rFonts w:ascii="仿宋_GB2312" w:hAnsi="仿宋_GB2312" w:cs="仿宋_GB2312" w:eastAsia="仿宋_GB2312"/>
                <w:sz w:val="21"/>
              </w:rPr>
              <w:t>5.供应商需将每周菜谱提交采购人审查后予以执行。</w:t>
            </w:r>
          </w:p>
          <w:p>
            <w:pPr>
              <w:pStyle w:val="null3"/>
              <w:jc w:val="left"/>
            </w:pPr>
            <w:r>
              <w:rPr>
                <w:rFonts w:ascii="仿宋_GB2312" w:hAnsi="仿宋_GB2312" w:cs="仿宋_GB2312" w:eastAsia="仿宋_GB2312"/>
                <w:sz w:val="21"/>
              </w:rPr>
              <w:t>6.负责设施设备运行与维护，确需进行改造或更换的，由供应商向采购人提出改造申请。</w:t>
            </w:r>
          </w:p>
          <w:p>
            <w:pPr>
              <w:pStyle w:val="null3"/>
              <w:jc w:val="left"/>
            </w:pPr>
            <w:r>
              <w:rPr>
                <w:rFonts w:ascii="仿宋_GB2312" w:hAnsi="仿宋_GB2312" w:cs="仿宋_GB2312" w:eastAsia="仿宋_GB2312"/>
                <w:sz w:val="21"/>
              </w:rPr>
              <w:t>7.供应商应严格执行采购人的物品进出审批程序。</w:t>
            </w:r>
          </w:p>
          <w:p>
            <w:pPr>
              <w:pStyle w:val="null3"/>
              <w:jc w:val="left"/>
            </w:pPr>
            <w:r>
              <w:rPr>
                <w:rFonts w:ascii="仿宋_GB2312" w:hAnsi="仿宋_GB2312" w:cs="仿宋_GB2312" w:eastAsia="仿宋_GB2312"/>
                <w:sz w:val="21"/>
              </w:rPr>
              <w:t>8.负责项目区域的卫生清洁工作，对因自身原因造成的卫生问题承担全部责任。</w:t>
            </w:r>
          </w:p>
          <w:p>
            <w:pPr>
              <w:pStyle w:val="null3"/>
              <w:jc w:val="left"/>
            </w:pPr>
            <w:r>
              <w:rPr>
                <w:rFonts w:ascii="仿宋_GB2312" w:hAnsi="仿宋_GB2312" w:cs="仿宋_GB2312" w:eastAsia="仿宋_GB2312"/>
                <w:sz w:val="21"/>
              </w:rPr>
              <w:t>9.服务期内，供应商应建立健全各项规章制度及有关岗位责任制和操作规程，制度上墙，并严格按制度和操作规程工作。制度建立主要包括：工作时间、工作职责、防火、防毒、防盗、卫生管理等各个方面，食堂全天均应有员工值班。上述制度建立之后经采购人同意后才可执行。</w:t>
            </w:r>
          </w:p>
          <w:p>
            <w:pPr>
              <w:pStyle w:val="null3"/>
              <w:jc w:val="left"/>
            </w:pPr>
            <w:r>
              <w:rPr>
                <w:rFonts w:ascii="仿宋_GB2312" w:hAnsi="仿宋_GB2312" w:cs="仿宋_GB2312" w:eastAsia="仿宋_GB2312"/>
                <w:sz w:val="21"/>
              </w:rPr>
              <w:t>10.食堂以服务采购人为唯一目的，不可营利，不允许对外营业，不准改变用途，不准转包。</w:t>
            </w:r>
          </w:p>
          <w:p>
            <w:pPr>
              <w:pStyle w:val="null3"/>
              <w:jc w:val="left"/>
            </w:pPr>
            <w:r>
              <w:rPr>
                <w:rFonts w:ascii="仿宋_GB2312" w:hAnsi="仿宋_GB2312" w:cs="仿宋_GB2312" w:eastAsia="仿宋_GB2312"/>
                <w:sz w:val="21"/>
              </w:rPr>
              <w:t>11.供应商招聘的工作人员必须经卫生部门体检合格并持证上岗，上班期间按规定要求着装，要做到穿着整洁、文明礼貌、热情服务。</w:t>
            </w:r>
          </w:p>
          <w:p>
            <w:pPr>
              <w:pStyle w:val="null3"/>
              <w:jc w:val="left"/>
            </w:pPr>
            <w:r>
              <w:rPr>
                <w:rFonts w:ascii="仿宋_GB2312" w:hAnsi="仿宋_GB2312" w:cs="仿宋_GB2312" w:eastAsia="仿宋_GB2312"/>
                <w:sz w:val="21"/>
              </w:rPr>
              <w:t>12.供应商应根据当地食药局要求建立食品留样制度，留样食品应注明品名及留样时间，因记录不及时而导致的后果，所有损失由供应商承担。一般样品在冷藏室应保存48小时。</w:t>
            </w:r>
          </w:p>
          <w:p>
            <w:pPr>
              <w:pStyle w:val="null3"/>
              <w:jc w:val="left"/>
            </w:pPr>
            <w:r>
              <w:rPr>
                <w:rFonts w:ascii="仿宋_GB2312" w:hAnsi="仿宋_GB2312" w:cs="仿宋_GB2312" w:eastAsia="仿宋_GB2312"/>
                <w:sz w:val="21"/>
              </w:rPr>
              <w:t>13.合同期满供应商应按本合同的规定将外包的物品完好无损的交付给采购人，如有损坏由供应商负责修复，不能修复的按折旧价赔偿（自然损耗除外）。</w:t>
            </w:r>
          </w:p>
          <w:p>
            <w:pPr>
              <w:pStyle w:val="null3"/>
              <w:jc w:val="left"/>
            </w:pPr>
            <w:r>
              <w:rPr>
                <w:rFonts w:ascii="仿宋_GB2312" w:hAnsi="仿宋_GB2312" w:cs="仿宋_GB2312" w:eastAsia="仿宋_GB2312"/>
                <w:sz w:val="21"/>
              </w:rPr>
              <w:t>14.在合同期内，供应商员工日常管理由供应商自行负责，若在采购人管理区域内发生酗酒闹事、赌博、偷东西、打架及做有伤风化等行为，情节严重者送至公安机关处理。发生任何意外或员工伤亡（包括上下班期间任何安全事故），供应商应承担一切责任，采购人对此不承担任何赔偿责任。</w:t>
            </w:r>
          </w:p>
          <w:p>
            <w:pPr>
              <w:pStyle w:val="null3"/>
              <w:jc w:val="left"/>
            </w:pPr>
            <w:r>
              <w:rPr>
                <w:rFonts w:ascii="仿宋_GB2312" w:hAnsi="仿宋_GB2312" w:cs="仿宋_GB2312" w:eastAsia="仿宋_GB2312"/>
                <w:sz w:val="21"/>
              </w:rPr>
              <w:t>15.供应商对因自己制作的食品卫生引起的事故承担全部责任。</w:t>
            </w:r>
          </w:p>
          <w:p>
            <w:pPr>
              <w:pStyle w:val="null3"/>
              <w:jc w:val="left"/>
            </w:pPr>
            <w:r>
              <w:rPr>
                <w:rFonts w:ascii="仿宋_GB2312" w:hAnsi="仿宋_GB2312" w:cs="仿宋_GB2312" w:eastAsia="仿宋_GB2312"/>
                <w:sz w:val="21"/>
              </w:rPr>
              <w:t>16.供应商应建立食品卫生安全事故应急预案，每发生一次事故，采购人有权视情节的严重性，处罚3000-50000元，如触犯国家及地方法律法规要同时按照相应规定予以处理。</w:t>
            </w:r>
          </w:p>
          <w:p>
            <w:pPr>
              <w:pStyle w:val="null3"/>
              <w:jc w:val="left"/>
            </w:pPr>
            <w:r>
              <w:rPr>
                <w:rFonts w:ascii="仿宋_GB2312" w:hAnsi="仿宋_GB2312" w:cs="仿宋_GB2312" w:eastAsia="仿宋_GB2312"/>
                <w:sz w:val="21"/>
              </w:rPr>
              <w:t>17.做好配合采购人开展重大活动的服务工作，服从采购人安排的其它工作。</w:t>
            </w:r>
          </w:p>
          <w:p>
            <w:pPr>
              <w:pStyle w:val="null3"/>
              <w:jc w:val="left"/>
            </w:pPr>
            <w:r>
              <w:rPr>
                <w:rFonts w:ascii="仿宋_GB2312" w:hAnsi="仿宋_GB2312" w:cs="仿宋_GB2312" w:eastAsia="仿宋_GB2312"/>
                <w:sz w:val="21"/>
              </w:rPr>
              <w:t>18、烹制加工质量要求：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1）餐具、炊具和盛放直接入口食品容器，使用前必须洗净、消毒，炊具、用具用后必须洗净保持清洁；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2）储存食品的容器包装、工具、设备和条件必须安全、无害，保持清洁；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3）直接入口的食品应当有小包装或者使用无毒、清洁的包装材料；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4）后厨人员应当经常保持个人卫生，</w:t>
            </w:r>
            <w:r>
              <w:rPr>
                <w:rFonts w:ascii="仿宋_GB2312" w:hAnsi="仿宋_GB2312" w:cs="仿宋_GB2312" w:eastAsia="仿宋_GB2312"/>
                <w:sz w:val="21"/>
              </w:rPr>
              <w:t>烹制加工</w:t>
            </w:r>
            <w:r>
              <w:rPr>
                <w:rFonts w:ascii="仿宋_GB2312" w:hAnsi="仿宋_GB2312" w:cs="仿宋_GB2312" w:eastAsia="仿宋_GB2312"/>
                <w:sz w:val="21"/>
              </w:rPr>
              <w:t>时，必须将手洗干净，穿戴整洁的工作衣、帽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5）用水必须符合国家规定的城乡生活饮用水卫生标准；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6）使用的洗涤剂、消毒剂应当对人体安全无害；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7）绝不烹饪加工下列食品：</w:t>
            </w:r>
          </w:p>
          <w:p>
            <w:pPr>
              <w:pStyle w:val="null3"/>
              <w:jc w:val="left"/>
            </w:pPr>
            <w:r>
              <w:rPr>
                <w:rFonts w:ascii="仿宋_GB2312" w:hAnsi="仿宋_GB2312" w:cs="仿宋_GB2312" w:eastAsia="仿宋_GB2312"/>
                <w:sz w:val="21"/>
              </w:rPr>
              <w:t>①腐败变质、油脂酸败、霉变、生虫、污秽不洁、混有异物或者其他感官性状异常，可能对人体健康有害的；</w:t>
            </w:r>
          </w:p>
          <w:p>
            <w:pPr>
              <w:pStyle w:val="null3"/>
              <w:jc w:val="left"/>
            </w:pPr>
            <w:r>
              <w:rPr>
                <w:rFonts w:ascii="仿宋_GB2312" w:hAnsi="仿宋_GB2312" w:cs="仿宋_GB2312" w:eastAsia="仿宋_GB2312"/>
                <w:sz w:val="21"/>
              </w:rPr>
              <w:t>②含有毒、有害物质或者被有毒、有害物质污染，可能对人体健康有害的；</w:t>
            </w:r>
          </w:p>
          <w:p>
            <w:pPr>
              <w:pStyle w:val="null3"/>
              <w:jc w:val="left"/>
            </w:pPr>
            <w:r>
              <w:rPr>
                <w:rFonts w:ascii="仿宋_GB2312" w:hAnsi="仿宋_GB2312" w:cs="仿宋_GB2312" w:eastAsia="仿宋_GB2312"/>
                <w:sz w:val="21"/>
              </w:rPr>
              <w:t>③含有致病性寄生虫、微生物的，或者微生物毒素含量超过国家限定标准的；</w:t>
            </w:r>
          </w:p>
          <w:p>
            <w:pPr>
              <w:pStyle w:val="null3"/>
              <w:jc w:val="left"/>
            </w:pPr>
            <w:r>
              <w:rPr>
                <w:rFonts w:ascii="仿宋_GB2312" w:hAnsi="仿宋_GB2312" w:cs="仿宋_GB2312" w:eastAsia="仿宋_GB2312"/>
                <w:sz w:val="21"/>
              </w:rPr>
              <w:t>④毒死或者死因不明的禽、畜、兽、水产动物等及其制品；</w:t>
            </w:r>
          </w:p>
          <w:p>
            <w:pPr>
              <w:pStyle w:val="null3"/>
              <w:jc w:val="left"/>
            </w:pPr>
            <w:r>
              <w:rPr>
                <w:rFonts w:ascii="仿宋_GB2312" w:hAnsi="仿宋_GB2312" w:cs="仿宋_GB2312" w:eastAsia="仿宋_GB2312"/>
                <w:sz w:val="21"/>
              </w:rPr>
              <w:t>⑤容器包装污秽不洁、严重破损造成污染的；</w:t>
            </w:r>
          </w:p>
          <w:p>
            <w:pPr>
              <w:pStyle w:val="null3"/>
              <w:jc w:val="left"/>
            </w:pPr>
            <w:r>
              <w:rPr>
                <w:rFonts w:ascii="仿宋_GB2312" w:hAnsi="仿宋_GB2312" w:cs="仿宋_GB2312" w:eastAsia="仿宋_GB2312"/>
                <w:sz w:val="21"/>
              </w:rPr>
              <w:t>⑥</w:t>
            </w:r>
            <w:r>
              <w:rPr>
                <w:rFonts w:ascii="仿宋_GB2312" w:hAnsi="仿宋_GB2312" w:cs="仿宋_GB2312" w:eastAsia="仿宋_GB2312"/>
                <w:sz w:val="21"/>
              </w:rPr>
              <w:t>掺假、掺杂、伪造，影响营养、卫生的；</w:t>
            </w:r>
          </w:p>
          <w:p>
            <w:pPr>
              <w:pStyle w:val="null3"/>
              <w:jc w:val="both"/>
            </w:pPr>
            <w:r>
              <w:rPr>
                <w:rFonts w:ascii="仿宋_GB2312" w:hAnsi="仿宋_GB2312" w:cs="仿宋_GB2312" w:eastAsia="仿宋_GB2312"/>
                <w:sz w:val="21"/>
              </w:rPr>
              <w:t>⑦</w:t>
            </w:r>
            <w:r>
              <w:rPr>
                <w:rFonts w:ascii="仿宋_GB2312" w:hAnsi="仿宋_GB2312" w:cs="仿宋_GB2312" w:eastAsia="仿宋_GB2312"/>
                <w:sz w:val="21"/>
              </w:rPr>
              <w:t>用非食品原料加工的，加入非食品用化学物质的或者将非食品当作食品的。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根据服务要求配置。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西安市未央区人民法院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①验收交付标准：按照采购文件要求、国家及相关行业标准执行。②验收方法：按照国家有关规定、采购文件、政府采购合同及采购人的要求对供应商履约情况进行验收。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完成第三季度服务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完成整个项目服务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单位在领取成交通知书前，须向采购代理机构提供纸质版响应文件2套（1正1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磋商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响应文件提交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提供2024年5月至今已缴纳的至少一个月的纳税证明或完税证明，依法免税的单位应提供相关证明材料。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法定代表人（主要负责人）参与磋商时，提供法定代表人（主要负责人）身份证明；授权代表参与磋商时，提供法定代表人（主要负责人）授权委托书。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具有有效的《食品经营许可证》</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未超出采购预算、最高限价。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响应文件的组成</w:t>
            </w:r>
          </w:p>
        </w:tc>
        <w:tc>
          <w:tcPr>
            <w:tcW w:type="dxa" w:w="3322"/>
          </w:tcPr>
          <w:p>
            <w:pPr>
              <w:pStyle w:val="null3"/>
            </w:pPr>
            <w:r>
              <w:rPr>
                <w:rFonts w:ascii="仿宋_GB2312" w:hAnsi="仿宋_GB2312" w:cs="仿宋_GB2312" w:eastAsia="仿宋_GB2312"/>
              </w:rPr>
              <w:t>按照磋商文件的规定和要求编制响应文件。</w:t>
            </w:r>
          </w:p>
        </w:tc>
        <w:tc>
          <w:tcPr>
            <w:tcW w:type="dxa" w:w="1661"/>
          </w:tcPr>
          <w:p>
            <w:pPr>
              <w:pStyle w:val="null3"/>
            </w:pPr>
            <w:r>
              <w:rPr>
                <w:rFonts w:ascii="仿宋_GB2312" w:hAnsi="仿宋_GB2312" w:cs="仿宋_GB2312" w:eastAsia="仿宋_GB2312"/>
              </w:rPr>
              <w:t>服务内容及服务邀请应答表 供应商概况与承诺 中小企业声明函 商务应答表 供应商应提交的相关资格证明材料 报价表 业绩一览表 响应文件封面 供应商认为有必要提供的其他资料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供应商概况与承诺 中小企业声明函 商务应答表 供应商应提交的相关资格证明材料 报价表 业绩一览表 响应文件封面 供应商认为有必要提供的其他资料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签字盖章均符合磋商文件要求，且无遗漏。</w:t>
            </w:r>
          </w:p>
        </w:tc>
        <w:tc>
          <w:tcPr>
            <w:tcW w:type="dxa" w:w="1661"/>
          </w:tcPr>
          <w:p>
            <w:pPr>
              <w:pStyle w:val="null3"/>
            </w:pPr>
            <w:r>
              <w:rPr>
                <w:rFonts w:ascii="仿宋_GB2312" w:hAnsi="仿宋_GB2312" w:cs="仿宋_GB2312" w:eastAsia="仿宋_GB2312"/>
              </w:rPr>
              <w:t>服务内容及服务邀请应答表 供应商概况与承诺 中小企业声明函 商务应答表 供应商应提交的相关资格证明材料 报价表 业绩一览表 响应文件封面 供应商认为有必要提供的其他资料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服务内容及服务邀请应答表 供应商概况与承诺 中小企业声明函 商务应答表 供应商应提交的相关资格证明材料 报价表 业绩一览表 响应文件封面 供应商认为有必要提供的其他资料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项目整体服务规划</w:t>
            </w:r>
          </w:p>
        </w:tc>
        <w:tc>
          <w:tcPr>
            <w:tcW w:type="dxa" w:w="2492"/>
          </w:tcPr>
          <w:p>
            <w:pPr>
              <w:pStyle w:val="null3"/>
            </w:pPr>
            <w:r>
              <w:rPr>
                <w:rFonts w:ascii="仿宋_GB2312" w:hAnsi="仿宋_GB2312" w:cs="仿宋_GB2312" w:eastAsia="仿宋_GB2312"/>
              </w:rPr>
              <w:t>一、评审内容 提供针对于本项目的项目整体服务规划方案，方案内容包含：①项目定位与目标；②服务范围及核心服务内容；③运营管理模式；④组织构架与职责分工；⑤风险管理；⑥成本控制与财务管理；⑦服务承诺与考核；⑧过渡与交接计划。 二、评审标准 1、完整性：方案须全面，对评审内容中的各项要求有详细描述及说明； 2、可实施性：切合本项目实际情况，内容条理清晰、合理，具有可实施性； 3、针对性：方案能够紧扣项目实际情况，内容科学合理。 三、赋分标准（满分12分） ①项目定位与目标：每完全满足一项评审标准得0.5分，满分1.5分； ②服务范围及核心服务内容：每完全满足一项评审标准得0.5分，满分1.5分； ③运营管理模式：每完全满足一项评审标准得0.5分，满分1.5分； ④组织构架与职责分工：每完全满足一项评审标准得0.5分，满分1.5分； ⑤风险管理：每完全满足一项评审标准得0.5分，满分1.5分； ⑥成本控制与财务管理：每完全满足一项评审标准得0.5分，满分1.5分； ⑦服务承诺与考核：每完全满足一项评审标准得0.5分，满分1.5分； ⑧过渡与交接计划：每完全满足一项评审标准得0.5分，满分1.5分。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供针对于本项目的管理制度，制度包含：生产安全、消防安全、食品卫生、食材验收、食材加工、食品留样、成本核算、环境卫生、餐具消毒、库房管理、设施设备管理、资料管理、服务管理、厉行节约反对浪费管理、垃圾分类管理、人员管理、宿舍管理、投诉管理、培训学习、传染病防控管理制度。 二、评审标准 1、完整性：方案须全面，对评审内容中的各项要求有详细描述及说明； 2、可实施性：切合本项目实际情况，内容条理清晰、合理，具有可实施性； 3、针对性：方案能够紧扣项目实际情况，内容科学合理。 三、赋分标准（满分10分） 每项管理制度评审内容完全满足评审标准得0.5分，不能完全满足评审标准不得分，满10分。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餐饮服务方案</w:t>
            </w:r>
          </w:p>
        </w:tc>
        <w:tc>
          <w:tcPr>
            <w:tcW w:type="dxa" w:w="2492"/>
          </w:tcPr>
          <w:p>
            <w:pPr>
              <w:pStyle w:val="null3"/>
            </w:pPr>
            <w:r>
              <w:rPr>
                <w:rFonts w:ascii="仿宋_GB2312" w:hAnsi="仿宋_GB2312" w:cs="仿宋_GB2312" w:eastAsia="仿宋_GB2312"/>
              </w:rPr>
              <w:t>一、评审内容 提供针对于本项目的餐饮服务方案，方案内容包含：①菜单设计方案；②食材验收管理；③食材存储管理；④烹饪与供餐管理；⑤营养与健康管理。 二、评审标准 1、完整性：方案须全面，对评审内容中的各项要求有详细描述及说明； 2、可实施性：切合本项目实际情况，内容条理清晰、合理，具有可实施性； 3、针对性：方案能够紧扣项目实际情况，内容科学合理。 三、赋分标准（满分15分） ①菜单设计方案：每完全满足一项评审标准得1分，满分3分； ②食材验收管理：每完全满足一项评审标准得1分，满分3分； ③食材存储管理：每完全满足一项评审标准得1分，满分3分； ④烹饪与供餐管理：每完全满足一项评审标准得1分，满分3分； ⑤营养与健康管理：每完全满足一项评审标准得1分，满分3分。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食品安全与卫生管理</w:t>
            </w:r>
          </w:p>
        </w:tc>
        <w:tc>
          <w:tcPr>
            <w:tcW w:type="dxa" w:w="2492"/>
          </w:tcPr>
          <w:p>
            <w:pPr>
              <w:pStyle w:val="null3"/>
            </w:pPr>
            <w:r>
              <w:rPr>
                <w:rFonts w:ascii="仿宋_GB2312" w:hAnsi="仿宋_GB2312" w:cs="仿宋_GB2312" w:eastAsia="仿宋_GB2312"/>
              </w:rPr>
              <w:t>一、评审内容 提供针对于本项目的食品安全与卫生管理方案，方案内容包含：①食品安全体系；②安全卫生管理措施；③食品安全培训与监督。 二、评审标准 1、完整性：方案须全面，对评审内容中的各项要求有详细描述及说明； 2、可实施性：切合本项目实际情况，内容条理清晰、合理，具有可实施性； 3、针对性：方案能够紧扣项目实际情况，内容科学合理。 三、赋分标准（满分9分） ①食品安全体系：每完全满足一项评审标准得1分，满分3分； ②安全卫生管理措施：每完全满足一项评审标准得1分，满分3分； ③食品安全培训与监督：每完全满足一项评审标准得1分，满分3分。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一、评审内容 提供针对于本项目的餐饮服务方案，方案内容包含：①质量控制措施；②监督与考核机制；③投诉处理机制。 二、评审标准 1、完整性：方案须全面，对评审内容中的各项要求有详细描述及说明； 2、可实施性：切合本项目实际情况，内容条理清晰、合理，具有可实施性； 3、针对性：方案能够紧扣项目实际情况，内容科学合理。 三、赋分标准（满分9分） ①质量控制措施：每完全满足一项评审标准得1分，满分3分； ②监督与考核机制：每完全满足一项评审标准得1分，满分3分； ③投诉处理机制：每完全满足一项评审标准得1分，满分3分。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设备与设施管理</w:t>
            </w:r>
          </w:p>
        </w:tc>
        <w:tc>
          <w:tcPr>
            <w:tcW w:type="dxa" w:w="2492"/>
          </w:tcPr>
          <w:p>
            <w:pPr>
              <w:pStyle w:val="null3"/>
            </w:pPr>
            <w:r>
              <w:rPr>
                <w:rFonts w:ascii="仿宋_GB2312" w:hAnsi="仿宋_GB2312" w:cs="仿宋_GB2312" w:eastAsia="仿宋_GB2312"/>
              </w:rPr>
              <w:t>一、评审内容 提供针对于本项目的设备与设施管理方案，方案内容包含：①设备使用管理；②设备维护与保养。 二、评审标准 1、完整性：方案须全面，对评审内容中的各项要求有详细描述及说明； 2、可实施性：切合本项目实际情况，内容条理清晰、合理，具有可实施性； 3、针对性：方案能够紧扣项目实际情况，内容科学合理。 三、赋分标准（满分6分） ①设备使用管理：每完全满足一项评审标准得1分，满分3分； ②设备维护与保养：每完全满足一项评审标准得1分，满分3分。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一、评审内容 提供针对于本项目的日常管理应急方案，方案内容包含：①应急组织机构；②常见突发事件及处置措施；③应急保障措施。 二、评审标准 1、完整性：方案须全面，对评审内容中的各项要求有详细描述及说明； 2、可实施性：切合本项目实际情况，内容条理清晰、合理，具有可实施性； 3、针对性：方案能够紧扣项目实际情况，内容科学合理。 三、赋分标准（满分9分） ①应急组织机构：每完全满足一项评审标准得1分，满分3分； ②常见突发事件及处置措施：每完全满足一项评审标准得1分，满分3分； ③应急保障措施：每完全满足一项评审标准得1分，满分3分。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环保与节能措施</w:t>
            </w:r>
          </w:p>
        </w:tc>
        <w:tc>
          <w:tcPr>
            <w:tcW w:type="dxa" w:w="2492"/>
          </w:tcPr>
          <w:p>
            <w:pPr>
              <w:pStyle w:val="null3"/>
            </w:pPr>
            <w:r>
              <w:rPr>
                <w:rFonts w:ascii="仿宋_GB2312" w:hAnsi="仿宋_GB2312" w:cs="仿宋_GB2312" w:eastAsia="仿宋_GB2312"/>
              </w:rPr>
              <w:t>一、评审内容 提供针对于本项目的环保与节能措施，方案内容包含：①环保措施；②节能措施。 二、评审标准 1、完整性：方案须全面，对评审内容中的各项要求有详细描述及说明； 2、可实施性：切合本项目实际情况，内容条理清晰、合理，具有可实施性； 3、针对性：方案能够紧扣项目实际情况，内容科学合理。 三、赋分标准（满分6分） ①环保措施：每完全满足一项评审标准得1分，满分3分； ②节能措施：每完全满足一项评审标准得1分，满分3分。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厨师长具有二级以上（含二级）中式烹调师证书得2分;面点主案具有二级以上（含二级）中式面点师证书得2分；厨师具有三级以上（含三级）中式烹调师证书，每提供一个得1分，最高得2分。（以相关资格证书扫描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提供2022年1月1日以来（时间以合同签订日期为准）类似项目的业绩证明文件（以合同扫描件加盖公章为准），每出具一份业绩证明文件得2分，满分8分。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评审基准价，其价格分为满分。其他供应商的价格分统一按照下列公式计算：磋商报价得分=（评审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详见附件：供应商概况与承诺</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详见附件：供应商认为有必要提供的其他资料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