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版本号：0617-25A6FZ108520250526001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2025年西安城市足球联赛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0617-25A6FZ1085</w:t>
      </w:r>
      <w:r>
        <w:br/>
      </w:r>
      <w:r>
        <w:br/>
      </w:r>
      <w:r>
        <w:br/>
      </w:r>
    </w:p>
    <w:p>
      <w:pPr>
        <w:pStyle w:val="null3"/>
        <w:jc w:val="center"/>
        <w:outlineLvl w:val="2"/>
      </w:pPr>
      <w:r>
        <w:rPr>
          <w:rFonts w:ascii="仿宋_GB2312" w:hAnsi="仿宋_GB2312" w:cs="仿宋_GB2312" w:eastAsia="仿宋_GB2312"/>
          <w:sz w:val="28"/>
          <w:b/>
        </w:rPr>
        <w:t>西安市足球运动管理中心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西安市足球运动管理中心</w:t>
      </w:r>
      <w:r>
        <w:rPr>
          <w:rFonts w:ascii="仿宋_GB2312" w:hAnsi="仿宋_GB2312" w:cs="仿宋_GB2312" w:eastAsia="仿宋_GB2312"/>
        </w:rPr>
        <w:t>委托，拟对</w:t>
      </w:r>
      <w:r>
        <w:rPr>
          <w:rFonts w:ascii="仿宋_GB2312" w:hAnsi="仿宋_GB2312" w:cs="仿宋_GB2312" w:eastAsia="仿宋_GB2312"/>
        </w:rPr>
        <w:t>2025年西安城市足球联赛</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0617-25A6FZ1085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2025年西安城市足球联赛</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西安市足球运动管理中心2025年西安城市足球联赛采购。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书：法定代表人直接磋商须提供法定代表人证明书，法定代表人授权代表参加磋商的，须出具法定代表人授权书，供应商需在项目电子化交易系统中按要求上传相应证明文件并进行电子签章；</w:t>
      </w:r>
    </w:p>
    <w:p>
      <w:pPr>
        <w:pStyle w:val="null3"/>
      </w:pPr>
      <w:r>
        <w:rPr>
          <w:rFonts w:ascii="仿宋_GB2312" w:hAnsi="仿宋_GB2312" w:cs="仿宋_GB2312" w:eastAsia="仿宋_GB2312"/>
        </w:rPr>
        <w:t>2、信用查询：供应商不得为“信用中国(www.creditchina.gov.cn)”中列入失信被执行人和重大税收违法案件当事人名单的供应商，不得为“中国政府采购网(www.ccgp.gov.cn)”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政府采购严重违法失信行为记录名单中被财政部门禁止参加政府采购活动的供应商（本项内容由采购代理机构查询，节点为投标文件递交截止时间）；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西安市足球运动管理中心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029-88065083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石皓楠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029-89328565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标准下浮35%计算，若代理服务费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西安市足球运动管理中心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西安市足球运动管理中心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西安市足球运动管理中心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举办2025年西安城市足球联赛。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1,160,000.00</w:t>
      </w:r>
    </w:p>
    <w:p>
      <w:pPr>
        <w:pStyle w:val="null3"/>
      </w:pPr>
      <w:r>
        <w:rPr>
          <w:rFonts w:ascii="仿宋_GB2312" w:hAnsi="仿宋_GB2312" w:cs="仿宋_GB2312" w:eastAsia="仿宋_GB2312"/>
        </w:rPr>
        <w:t>采购包最高限价（元）: 1,160,000.00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2025年西安城市足球联赛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标的名称：2025年西安城市足球联赛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一、服务期限、服务地点</w:t>
            </w:r>
          </w:p>
          <w:p>
            <w:pPr>
              <w:pStyle w:val="null3"/>
              <w:ind w:firstLine="420"/>
            </w:pPr>
            <w:r>
              <w:rPr>
                <w:rFonts w:ascii="仿宋_GB2312" w:hAnsi="仿宋_GB2312" w:cs="仿宋_GB2312" w:eastAsia="仿宋_GB2312"/>
                <w:sz w:val="21"/>
              </w:rPr>
              <w:t>服务期限：自赛事报名前开始至赛事服务结束。</w:t>
            </w:r>
          </w:p>
          <w:p>
            <w:pPr>
              <w:pStyle w:val="null3"/>
              <w:ind w:firstLine="420"/>
            </w:pPr>
            <w:r>
              <w:rPr>
                <w:rFonts w:ascii="仿宋_GB2312" w:hAnsi="仿宋_GB2312" w:cs="仿宋_GB2312" w:eastAsia="仿宋_GB2312"/>
                <w:sz w:val="21"/>
              </w:rPr>
              <w:t>服务地点：采购人指定地点。</w:t>
            </w:r>
          </w:p>
          <w:p>
            <w:pPr>
              <w:pStyle w:val="null3"/>
            </w:pPr>
            <w:r>
              <w:rPr>
                <w:rFonts w:ascii="仿宋_GB2312" w:hAnsi="仿宋_GB2312" w:cs="仿宋_GB2312" w:eastAsia="仿宋_GB2312"/>
                <w:sz w:val="21"/>
                <w:b/>
              </w:rPr>
              <w:t>二、采购预算</w:t>
            </w:r>
          </w:p>
          <w:p>
            <w:pPr>
              <w:pStyle w:val="null3"/>
              <w:ind w:firstLine="420"/>
            </w:pPr>
            <w:r>
              <w:rPr>
                <w:rFonts w:ascii="仿宋_GB2312" w:hAnsi="仿宋_GB2312" w:cs="仿宋_GB2312" w:eastAsia="仿宋_GB2312"/>
                <w:sz w:val="21"/>
              </w:rPr>
              <w:t>合同包</w:t>
            </w:r>
            <w:r>
              <w:rPr>
                <w:rFonts w:ascii="仿宋_GB2312" w:hAnsi="仿宋_GB2312" w:cs="仿宋_GB2312" w:eastAsia="仿宋_GB2312"/>
                <w:sz w:val="21"/>
              </w:rPr>
              <w:t>1（2025年西安城市足球联赛）：1160000.00元</w:t>
            </w:r>
          </w:p>
          <w:p>
            <w:pPr>
              <w:pStyle w:val="null3"/>
            </w:pPr>
            <w:r>
              <w:rPr>
                <w:rFonts w:ascii="仿宋_GB2312" w:hAnsi="仿宋_GB2312" w:cs="仿宋_GB2312" w:eastAsia="仿宋_GB2312"/>
                <w:sz w:val="21"/>
                <w:b/>
              </w:rPr>
              <w:t>三、付款方式</w:t>
            </w:r>
          </w:p>
          <w:p>
            <w:pPr>
              <w:pStyle w:val="null3"/>
              <w:ind w:firstLine="420"/>
            </w:pPr>
            <w:r>
              <w:rPr>
                <w:rFonts w:ascii="仿宋_GB2312" w:hAnsi="仿宋_GB2312" w:cs="仿宋_GB2312" w:eastAsia="仿宋_GB2312"/>
                <w:sz w:val="21"/>
              </w:rPr>
              <w:t>采购人付款前，成交供应商应向采购人提供等额有效且符合采购人财务管理要求的增值税发票或者财政监制的非税收入票据，否则采购人有权拒绝付款且不承担违约责任；</w:t>
            </w:r>
          </w:p>
          <w:p>
            <w:pPr>
              <w:pStyle w:val="null3"/>
              <w:ind w:firstLine="420"/>
            </w:pPr>
            <w:r>
              <w:rPr>
                <w:rFonts w:ascii="仿宋_GB2312" w:hAnsi="仿宋_GB2312" w:cs="仿宋_GB2312" w:eastAsia="仿宋_GB2312"/>
                <w:sz w:val="21"/>
              </w:rPr>
              <w:t>合同签订后，达到付款条件起</w:t>
            </w:r>
            <w:r>
              <w:rPr>
                <w:rFonts w:ascii="仿宋_GB2312" w:hAnsi="仿宋_GB2312" w:cs="仿宋_GB2312" w:eastAsia="仿宋_GB2312"/>
                <w:sz w:val="21"/>
              </w:rPr>
              <w:t>15日内，支付预付款合同总金额的50%。项目结束，达到付款条件起30日内，按照实际场次据实结算最高支付合同总金额剩余50%。</w:t>
            </w:r>
          </w:p>
          <w:p>
            <w:pPr>
              <w:pStyle w:val="null3"/>
            </w:pPr>
            <w:r>
              <w:rPr>
                <w:rFonts w:ascii="仿宋_GB2312" w:hAnsi="仿宋_GB2312" w:cs="仿宋_GB2312" w:eastAsia="仿宋_GB2312"/>
                <w:sz w:val="21"/>
                <w:b/>
              </w:rPr>
              <w:t>四、知识产权</w:t>
            </w:r>
          </w:p>
          <w:p>
            <w:pPr>
              <w:pStyle w:val="null3"/>
              <w:ind w:firstLine="420"/>
            </w:pPr>
            <w:r>
              <w:rPr>
                <w:rFonts w:ascii="仿宋_GB2312" w:hAnsi="仿宋_GB2312" w:cs="仿宋_GB2312" w:eastAsia="仿宋_GB2312"/>
                <w:sz w:val="21"/>
              </w:rPr>
              <w:t>采购人在中华人民共和国境内使用供应商提供的服务时免受第三方提出的侵犯其专利权或其他知识产权的起诉。如果第三方提出侵权指控，成交人应承担由此而引起的一切法律责任和费用。</w:t>
            </w:r>
          </w:p>
          <w:p>
            <w:pPr>
              <w:pStyle w:val="null3"/>
            </w:pPr>
            <w:r>
              <w:rPr>
                <w:rFonts w:ascii="仿宋_GB2312" w:hAnsi="仿宋_GB2312" w:cs="仿宋_GB2312" w:eastAsia="仿宋_GB2312"/>
                <w:sz w:val="21"/>
                <w:b/>
              </w:rPr>
              <w:t>五、采购内容</w:t>
            </w:r>
          </w:p>
          <w:p>
            <w:pPr>
              <w:pStyle w:val="null3"/>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pPr>
            <w:r>
              <w:rPr>
                <w:rFonts w:ascii="仿宋_GB2312" w:hAnsi="仿宋_GB2312" w:cs="仿宋_GB2312" w:eastAsia="仿宋_GB2312"/>
                <w:sz w:val="21"/>
              </w:rPr>
              <w:t>1.</w:t>
            </w:r>
            <w:r>
              <w:rPr>
                <w:rFonts w:ascii="仿宋_GB2312" w:hAnsi="仿宋_GB2312" w:cs="仿宋_GB2312" w:eastAsia="仿宋_GB2312"/>
                <w:sz w:val="21"/>
              </w:rPr>
              <w:t>供应商负责承担本次比赛的训练场地、竞赛保障、赛事策划、商务开发、竞赛组织和器材保障、</w:t>
            </w:r>
            <w:r>
              <w:rPr>
                <w:rFonts w:ascii="仿宋_GB2312" w:hAnsi="仿宋_GB2312" w:cs="仿宋_GB2312" w:eastAsia="仿宋_GB2312"/>
                <w:sz w:val="21"/>
              </w:rPr>
              <w:t>开幕式及</w:t>
            </w:r>
            <w:r>
              <w:rPr>
                <w:rFonts w:ascii="仿宋_GB2312" w:hAnsi="仿宋_GB2312" w:cs="仿宋_GB2312" w:eastAsia="仿宋_GB2312"/>
                <w:sz w:val="21"/>
              </w:rPr>
              <w:t>颁奖仪式、媒体宣传推广、场地布置、志愿者招募管理、后勤接待保障、各类资料印制、赛事保险、医疗保障、安全保卫、电力、通信保障</w:t>
            </w:r>
            <w:r>
              <w:rPr>
                <w:rFonts w:ascii="仿宋_GB2312" w:hAnsi="仿宋_GB2312" w:cs="仿宋_GB2312" w:eastAsia="仿宋_GB2312"/>
                <w:sz w:val="21"/>
              </w:rPr>
              <w:t>等</w:t>
            </w:r>
            <w:r>
              <w:rPr>
                <w:rFonts w:ascii="仿宋_GB2312" w:hAnsi="仿宋_GB2312" w:cs="仿宋_GB2312" w:eastAsia="仿宋_GB2312"/>
                <w:sz w:val="21"/>
              </w:rPr>
              <w:t>。并向使用部门提交赛事总结等与赛事服务运营有关一切事务，方案策划及运营服务需符合体育赛事相应规范要求。</w:t>
            </w:r>
          </w:p>
          <w:p>
            <w:pPr>
              <w:pStyle w:val="null3"/>
            </w:pPr>
            <w:r>
              <w:rPr>
                <w:rFonts w:ascii="仿宋_GB2312" w:hAnsi="仿宋_GB2312" w:cs="仿宋_GB2312" w:eastAsia="仿宋_GB2312"/>
                <w:sz w:val="21"/>
              </w:rPr>
              <w:t>2.</w:t>
            </w:r>
            <w:r>
              <w:rPr>
                <w:rFonts w:ascii="仿宋_GB2312" w:hAnsi="仿宋_GB2312" w:cs="仿宋_GB2312" w:eastAsia="仿宋_GB2312"/>
                <w:sz w:val="21"/>
              </w:rPr>
              <w:t>比赛总结：高质量、高水平、高效率的协助完成委托的其他工作事项，确保各项工作顺利推进，协助采购人完成赛事相关资料汇总，每项赛事提交赛事总结报告，并及时提交比赛总结报告及相关档案资料，内容齐全。</w:t>
            </w:r>
          </w:p>
          <w:p>
            <w:pPr>
              <w:pStyle w:val="null3"/>
            </w:pPr>
            <w:r>
              <w:rPr>
                <w:rFonts w:ascii="仿宋_GB2312" w:hAnsi="仿宋_GB2312" w:cs="仿宋_GB2312" w:eastAsia="仿宋_GB2312"/>
                <w:sz w:val="21"/>
              </w:rPr>
              <w:t>3.</w:t>
            </w:r>
            <w:r>
              <w:rPr>
                <w:rFonts w:ascii="仿宋_GB2312" w:hAnsi="仿宋_GB2312" w:cs="仿宋_GB2312" w:eastAsia="仿宋_GB2312"/>
                <w:sz w:val="21"/>
              </w:rPr>
              <w:t>在活动的执行过程中，合作双方应遵循</w:t>
            </w:r>
            <w:r>
              <w:rPr>
                <w:rFonts w:ascii="仿宋_GB2312" w:hAnsi="仿宋_GB2312" w:cs="仿宋_GB2312" w:eastAsia="仿宋_GB2312"/>
                <w:sz w:val="21"/>
              </w:rPr>
              <w:t>采购人</w:t>
            </w:r>
            <w:r>
              <w:rPr>
                <w:rFonts w:ascii="仿宋_GB2312" w:hAnsi="仿宋_GB2312" w:cs="仿宋_GB2312" w:eastAsia="仿宋_GB2312"/>
                <w:sz w:val="21"/>
              </w:rPr>
              <w:t>确认原则，即所有的设计策划方案、详细报价的预算及结算等，均由供应商提出建议和说明，但最终以双方确认的内容或方式执行。</w:t>
            </w:r>
          </w:p>
          <w:p>
            <w:pPr>
              <w:pStyle w:val="null3"/>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比赛时间、地点</w:t>
            </w:r>
          </w:p>
          <w:p>
            <w:pPr>
              <w:pStyle w:val="null3"/>
            </w:pPr>
            <w:r>
              <w:rPr>
                <w:rFonts w:ascii="仿宋_GB2312" w:hAnsi="仿宋_GB2312" w:cs="仿宋_GB2312" w:eastAsia="仿宋_GB2312"/>
                <w:sz w:val="21"/>
              </w:rPr>
              <w:t>1.乙级联赛（区县、开发区协会组织的赛事）</w:t>
            </w:r>
          </w:p>
          <w:p>
            <w:pPr>
              <w:pStyle w:val="null3"/>
            </w:pPr>
            <w:r>
              <w:rPr>
                <w:rFonts w:ascii="仿宋_GB2312" w:hAnsi="仿宋_GB2312" w:cs="仿宋_GB2312" w:eastAsia="仿宋_GB2312"/>
                <w:sz w:val="21"/>
              </w:rPr>
              <w:t>时间：</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-10月</w:t>
            </w:r>
          </w:p>
          <w:p>
            <w:pPr>
              <w:pStyle w:val="null3"/>
            </w:pPr>
            <w:r>
              <w:rPr>
                <w:rFonts w:ascii="仿宋_GB2312" w:hAnsi="仿宋_GB2312" w:cs="仿宋_GB2312" w:eastAsia="仿宋_GB2312"/>
                <w:sz w:val="21"/>
              </w:rPr>
              <w:t>地点：西安</w:t>
            </w:r>
            <w:r>
              <w:rPr>
                <w:rFonts w:ascii="仿宋_GB2312" w:hAnsi="仿宋_GB2312" w:cs="仿宋_GB2312" w:eastAsia="仿宋_GB2312"/>
                <w:sz w:val="21"/>
              </w:rPr>
              <w:t>市各社会场地（天然草或符合竞赛要求的人造草皮）</w:t>
            </w:r>
          </w:p>
          <w:p>
            <w:pPr>
              <w:pStyle w:val="null3"/>
            </w:pPr>
            <w:r>
              <w:rPr>
                <w:rFonts w:ascii="仿宋_GB2312" w:hAnsi="仿宋_GB2312" w:cs="仿宋_GB2312" w:eastAsia="仿宋_GB2312"/>
                <w:sz w:val="21"/>
              </w:rPr>
              <w:t>2.甲级联赛（市级决赛）</w:t>
            </w:r>
          </w:p>
          <w:p>
            <w:pPr>
              <w:pStyle w:val="null3"/>
            </w:pPr>
            <w:r>
              <w:rPr>
                <w:rFonts w:ascii="仿宋_GB2312" w:hAnsi="仿宋_GB2312" w:cs="仿宋_GB2312" w:eastAsia="仿宋_GB2312"/>
                <w:sz w:val="21"/>
              </w:rPr>
              <w:t>时间：</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-11月</w:t>
            </w:r>
          </w:p>
          <w:p>
            <w:pPr>
              <w:pStyle w:val="null3"/>
            </w:pPr>
            <w:r>
              <w:rPr>
                <w:rFonts w:ascii="仿宋_GB2312" w:hAnsi="仿宋_GB2312" w:cs="仿宋_GB2312" w:eastAsia="仿宋_GB2312"/>
                <w:sz w:val="21"/>
              </w:rPr>
              <w:t>地点：</w:t>
            </w:r>
            <w:r>
              <w:rPr>
                <w:rFonts w:ascii="仿宋_GB2312" w:hAnsi="仿宋_GB2312" w:cs="仿宋_GB2312" w:eastAsia="仿宋_GB2312"/>
                <w:sz w:val="21"/>
              </w:rPr>
              <w:t>场地待定（天然草或符合竞赛要求的人造草皮）</w:t>
            </w:r>
          </w:p>
          <w:p>
            <w:pPr>
              <w:pStyle w:val="null3"/>
            </w:pPr>
            <w:r>
              <w:rPr>
                <w:rFonts w:ascii="仿宋_GB2312" w:hAnsi="仿宋_GB2312" w:cs="仿宋_GB2312" w:eastAsia="仿宋_GB2312"/>
                <w:sz w:val="21"/>
                <w:b/>
              </w:rPr>
              <w:t>（三）</w:t>
            </w:r>
            <w:r>
              <w:rPr>
                <w:rFonts w:ascii="仿宋_GB2312" w:hAnsi="仿宋_GB2312" w:cs="仿宋_GB2312" w:eastAsia="仿宋_GB2312"/>
                <w:sz w:val="21"/>
                <w:b/>
              </w:rPr>
              <w:t>参赛队伍</w:t>
            </w:r>
          </w:p>
          <w:p>
            <w:pPr>
              <w:pStyle w:val="null3"/>
            </w:pPr>
            <w:r>
              <w:rPr>
                <w:rFonts w:ascii="仿宋_GB2312" w:hAnsi="仿宋_GB2312" w:cs="仿宋_GB2312" w:eastAsia="仿宋_GB2312"/>
                <w:sz w:val="21"/>
              </w:rPr>
              <w:t>1</w:t>
            </w:r>
            <w:r>
              <w:rPr>
                <w:rFonts w:ascii="仿宋_GB2312" w:hAnsi="仿宋_GB2312" w:cs="仿宋_GB2312" w:eastAsia="仿宋_GB2312"/>
                <w:sz w:val="21"/>
              </w:rPr>
              <w:t>.乙级联赛各区县（开发区）协会组织区域内各社会团体、俱乐部和企事业单位队伍参赛。</w:t>
            </w:r>
          </w:p>
          <w:p>
            <w:pPr>
              <w:pStyle w:val="null3"/>
            </w:pPr>
            <w:r>
              <w:rPr>
                <w:rFonts w:ascii="仿宋_GB2312" w:hAnsi="仿宋_GB2312" w:cs="仿宋_GB2312" w:eastAsia="仿宋_GB2312"/>
                <w:sz w:val="21"/>
              </w:rPr>
              <w:t>2.甲级联赛参赛队伍为乙级联赛各赛区优胜队伍参赛。</w:t>
            </w:r>
          </w:p>
          <w:p>
            <w:pPr>
              <w:pStyle w:val="null3"/>
            </w:pPr>
            <w:r>
              <w:rPr>
                <w:rFonts w:ascii="仿宋_GB2312" w:hAnsi="仿宋_GB2312" w:cs="仿宋_GB2312" w:eastAsia="仿宋_GB2312"/>
                <w:sz w:val="21"/>
                <w:b/>
              </w:rPr>
              <w:t>（四）竞赛项目及介绍</w:t>
            </w:r>
          </w:p>
          <w:p>
            <w:pPr>
              <w:pStyle w:val="null3"/>
            </w:pPr>
            <w:r>
              <w:rPr>
                <w:rFonts w:ascii="仿宋_GB2312" w:hAnsi="仿宋_GB2312" w:cs="仿宋_GB2312" w:eastAsia="仿宋_GB2312"/>
                <w:sz w:val="21"/>
              </w:rPr>
              <w:t>1.</w:t>
            </w:r>
            <w:r>
              <w:rPr>
                <w:rFonts w:ascii="仿宋_GB2312" w:hAnsi="仿宋_GB2312" w:cs="仿宋_GB2312" w:eastAsia="仿宋_GB2312"/>
                <w:sz w:val="21"/>
              </w:rPr>
              <w:t>竞赛项目：</w:t>
            </w:r>
            <w:r>
              <w:rPr>
                <w:rFonts w:ascii="仿宋_GB2312" w:hAnsi="仿宋_GB2312" w:cs="仿宋_GB2312" w:eastAsia="仿宋_GB2312"/>
                <w:sz w:val="21"/>
              </w:rPr>
              <w:t>西安市城市足球联赛</w:t>
            </w:r>
          </w:p>
          <w:p>
            <w:pPr>
              <w:pStyle w:val="null3"/>
            </w:pPr>
            <w:r>
              <w:rPr>
                <w:rFonts w:ascii="仿宋_GB2312" w:hAnsi="仿宋_GB2312" w:cs="仿宋_GB2312" w:eastAsia="仿宋_GB2312"/>
                <w:sz w:val="21"/>
              </w:rPr>
              <w:t>2.赛事介绍</w:t>
            </w:r>
            <w:r>
              <w:rPr>
                <w:rFonts w:ascii="仿宋_GB2312" w:hAnsi="仿宋_GB2312" w:cs="仿宋_GB2312" w:eastAsia="仿宋_GB2312"/>
                <w:sz w:val="21"/>
              </w:rPr>
              <w:t>：</w:t>
            </w:r>
            <w:r>
              <w:rPr>
                <w:rFonts w:ascii="仿宋_GB2312" w:hAnsi="仿宋_GB2312" w:cs="仿宋_GB2312" w:eastAsia="仿宋_GB2312"/>
                <w:sz w:val="21"/>
              </w:rPr>
              <w:t>西安城市足球联赛分为两级联赛，乙级联赛以区县、开发区协会组织的赛事，采用</w:t>
            </w:r>
            <w:r>
              <w:rPr>
                <w:rFonts w:ascii="仿宋_GB2312" w:hAnsi="仿宋_GB2312" w:cs="仿宋_GB2312" w:eastAsia="仿宋_GB2312"/>
                <w:sz w:val="21"/>
              </w:rPr>
              <w:t>八人制</w:t>
            </w:r>
            <w:r>
              <w:rPr>
                <w:rFonts w:ascii="仿宋_GB2312" w:hAnsi="仿宋_GB2312" w:cs="仿宋_GB2312" w:eastAsia="仿宋_GB2312"/>
                <w:sz w:val="21"/>
              </w:rPr>
              <w:t>比赛，赛事规模不少于</w:t>
            </w:r>
            <w:r>
              <w:rPr>
                <w:rFonts w:ascii="仿宋_GB2312" w:hAnsi="仿宋_GB2312" w:cs="仿宋_GB2312" w:eastAsia="仿宋_GB2312"/>
                <w:sz w:val="21"/>
              </w:rPr>
              <w:t>10个赛区，总场数不少于380场比赛，实际场次需满足采购人需求。各赛区优胜队获得甲级联赛参赛资格。甲级联赛（市级决赛）采用</w:t>
            </w:r>
            <w:r>
              <w:rPr>
                <w:rFonts w:ascii="仿宋_GB2312" w:hAnsi="仿宋_GB2312" w:cs="仿宋_GB2312" w:eastAsia="仿宋_GB2312"/>
                <w:sz w:val="21"/>
              </w:rPr>
              <w:t>八人制</w:t>
            </w:r>
            <w:r>
              <w:rPr>
                <w:rFonts w:ascii="仿宋_GB2312" w:hAnsi="仿宋_GB2312" w:cs="仿宋_GB2312" w:eastAsia="仿宋_GB2312"/>
                <w:sz w:val="21"/>
              </w:rPr>
              <w:t>比赛，总场数不少于</w:t>
            </w:r>
            <w:r>
              <w:rPr>
                <w:rFonts w:ascii="仿宋_GB2312" w:hAnsi="仿宋_GB2312" w:cs="仿宋_GB2312" w:eastAsia="仿宋_GB2312"/>
                <w:sz w:val="21"/>
              </w:rPr>
              <w:t>48场比赛，实际场次需满足采购人需求。比赛采取分组循环及淘汰赛。实际场次需满足采购人需求。</w:t>
            </w:r>
          </w:p>
          <w:p>
            <w:pPr>
              <w:pStyle w:val="null3"/>
            </w:pPr>
            <w:r>
              <w:rPr>
                <w:rFonts w:ascii="仿宋_GB2312" w:hAnsi="仿宋_GB2312" w:cs="仿宋_GB2312" w:eastAsia="仿宋_GB2312"/>
                <w:sz w:val="21"/>
                <w:b/>
              </w:rPr>
              <w:t>（五）保险服务</w:t>
            </w:r>
          </w:p>
          <w:p>
            <w:pPr>
              <w:pStyle w:val="null3"/>
            </w:pPr>
            <w:r>
              <w:rPr>
                <w:rFonts w:ascii="仿宋_GB2312" w:hAnsi="仿宋_GB2312" w:cs="仿宋_GB2312" w:eastAsia="仿宋_GB2312"/>
                <w:sz w:val="21"/>
              </w:rPr>
              <w:t>1.保险对象是指参与本赛事活动的所有人员，投保必须以单位名义，不能以个人名义投保。</w:t>
            </w:r>
          </w:p>
          <w:p>
            <w:pPr>
              <w:pStyle w:val="null3"/>
            </w:pPr>
            <w:r>
              <w:rPr>
                <w:rFonts w:ascii="仿宋_GB2312" w:hAnsi="仿宋_GB2312" w:cs="仿宋_GB2312" w:eastAsia="仿宋_GB2312"/>
                <w:sz w:val="21"/>
              </w:rPr>
              <w:t>2.对举办比赛体育场相关联的风险和责任进行投保，此类保险应向受伤人员或者受损物品和财产进行合适数量赔偿。</w:t>
            </w:r>
          </w:p>
          <w:p>
            <w:pPr>
              <w:pStyle w:val="null3"/>
            </w:pPr>
            <w:r>
              <w:rPr>
                <w:rFonts w:ascii="仿宋_GB2312" w:hAnsi="仿宋_GB2312" w:cs="仿宋_GB2312" w:eastAsia="仿宋_GB2312"/>
                <w:sz w:val="21"/>
              </w:rPr>
              <w:t>3.为所有参赛球员购买覆盖赛事周期的人身意外伤害险和死亡险。</w:t>
            </w:r>
          </w:p>
          <w:p>
            <w:pPr>
              <w:pStyle w:val="null3"/>
            </w:pPr>
            <w:r>
              <w:rPr>
                <w:rFonts w:ascii="仿宋_GB2312" w:hAnsi="仿宋_GB2312" w:cs="仿宋_GB2312" w:eastAsia="仿宋_GB2312"/>
                <w:sz w:val="21"/>
              </w:rPr>
              <w:t>4.承保训练及比赛期间的意外伤害及意外医疗保险。</w:t>
            </w:r>
          </w:p>
          <w:p>
            <w:pPr>
              <w:pStyle w:val="null3"/>
            </w:pPr>
            <w:r>
              <w:rPr>
                <w:rFonts w:ascii="仿宋_GB2312" w:hAnsi="仿宋_GB2312" w:cs="仿宋_GB2312" w:eastAsia="仿宋_GB2312"/>
                <w:sz w:val="21"/>
              </w:rPr>
              <w:t>5.每位被保险人限投一份，多投无效。</w:t>
            </w:r>
          </w:p>
          <w:p>
            <w:pPr>
              <w:pStyle w:val="null3"/>
            </w:pPr>
            <w:r>
              <w:rPr>
                <w:rFonts w:ascii="仿宋_GB2312" w:hAnsi="仿宋_GB2312" w:cs="仿宋_GB2312" w:eastAsia="仿宋_GB2312"/>
                <w:sz w:val="21"/>
              </w:rPr>
              <w:t>6.被保险人应采取合理的预防措施，尽力避免或减少责任事故的发生。</w:t>
            </w:r>
          </w:p>
          <w:p>
            <w:pPr>
              <w:pStyle w:val="null3"/>
            </w:pPr>
            <w:r>
              <w:rPr>
                <w:rFonts w:ascii="仿宋_GB2312" w:hAnsi="仿宋_GB2312" w:cs="仿宋_GB2312" w:eastAsia="仿宋_GB2312"/>
                <w:sz w:val="21"/>
              </w:rPr>
              <w:t>7.参赛队伍同时也要为球队官员和运动员购买保险，应自行负责其运动队在赛区所有比赛中包括运动员和官员在内的保险问题（包括意外门急诊，住院和外科手术或由比赛引发的其他相关问题，如失能，失业等），且参赛队伍必须使各级政府、体育部门及足球协会免遭此类起诉。</w:t>
            </w:r>
          </w:p>
          <w:p>
            <w:pPr>
              <w:pStyle w:val="null3"/>
              <w:jc w:val="both"/>
            </w:pPr>
            <w:r>
              <w:rPr>
                <w:rFonts w:ascii="仿宋_GB2312" w:hAnsi="仿宋_GB2312" w:cs="仿宋_GB2312" w:eastAsia="仿宋_GB2312"/>
                <w:sz w:val="21"/>
                <w:b/>
              </w:rPr>
              <w:t>（六）</w:t>
            </w:r>
            <w:r>
              <w:rPr>
                <w:rFonts w:ascii="仿宋_GB2312" w:hAnsi="仿宋_GB2312" w:cs="仿宋_GB2312" w:eastAsia="仿宋_GB2312"/>
                <w:sz w:val="21"/>
                <w:b/>
              </w:rPr>
              <w:t>医务</w:t>
            </w:r>
          </w:p>
          <w:p>
            <w:pPr>
              <w:pStyle w:val="null3"/>
            </w:pPr>
            <w:r>
              <w:rPr>
                <w:rFonts w:ascii="仿宋_GB2312" w:hAnsi="仿宋_GB2312" w:cs="仿宋_GB2312" w:eastAsia="仿宋_GB2312"/>
                <w:sz w:val="21"/>
              </w:rPr>
              <w:t>1.比赛场地和训练场地均应提供医疗服务，并配备救护车和比赛常备药品。救护车应配AED及使用AED 设备的专业医务人员，可供比赛及训练使用。比赛时，救护车应于赛前60分钟抵达赛场，至赛后30分钟离开；训练时，救护车应于训练前30分钟抵达训练场，至训练结束后30分钟离开。</w:t>
            </w:r>
          </w:p>
          <w:p>
            <w:pPr>
              <w:pStyle w:val="null3"/>
            </w:pPr>
            <w:r>
              <w:rPr>
                <w:rFonts w:ascii="仿宋_GB2312" w:hAnsi="仿宋_GB2312" w:cs="仿宋_GB2312" w:eastAsia="仿宋_GB2312"/>
                <w:sz w:val="21"/>
              </w:rPr>
              <w:t>2.赛区应设指定医院，并开通就医相关绿色通道。</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w:t>
            </w:r>
            <w:r>
              <w:rPr>
                <w:rFonts w:ascii="仿宋_GB2312" w:hAnsi="仿宋_GB2312" w:cs="仿宋_GB2312" w:eastAsia="仿宋_GB2312"/>
                <w:sz w:val="21"/>
                <w:b/>
              </w:rPr>
              <w:t>宣传</w:t>
            </w:r>
          </w:p>
          <w:p>
            <w:pPr>
              <w:pStyle w:val="null3"/>
            </w:pPr>
            <w:r>
              <w:rPr>
                <w:rFonts w:ascii="仿宋_GB2312" w:hAnsi="仿宋_GB2312" w:cs="仿宋_GB2312" w:eastAsia="仿宋_GB2312"/>
                <w:sz w:val="21"/>
              </w:rPr>
              <w:t>1.承办方应成立宣传工作小组，按照要求，确定一名新闻负责人，负责赛事的相关宣传工作。赛事举行期间可根据赛事的情况向当地媒体提供相应的赛事信息和报道素材。赛事期间和全部结束后撰写赛事相关新闻稿(配比赛及活动照片)。</w:t>
            </w:r>
          </w:p>
          <w:p>
            <w:pPr>
              <w:pStyle w:val="null3"/>
            </w:pPr>
            <w:r>
              <w:rPr>
                <w:rFonts w:ascii="仿宋_GB2312" w:hAnsi="仿宋_GB2312" w:cs="仿宋_GB2312" w:eastAsia="仿宋_GB2312"/>
                <w:sz w:val="21"/>
              </w:rPr>
              <w:t>2.承办方应组织1-2名专业摄影人员对比赛相关活动及每场赛事进行全程录像及图片拍摄，拍摄的录像和数码图片应按活动名称和比赛对阵名称进行文件分类。</w:t>
            </w:r>
          </w:p>
          <w:p>
            <w:pPr>
              <w:pStyle w:val="null3"/>
              <w:numPr>
                <w:ilvl w:val="0"/>
                <w:numId w:val="1"/>
              </w:numPr>
              <w:jc w:val="both"/>
            </w:pPr>
            <w:r>
              <w:rPr>
                <w:rFonts w:ascii="仿宋_GB2312" w:hAnsi="仿宋_GB2312" w:cs="仿宋_GB2312" w:eastAsia="仿宋_GB2312"/>
                <w:sz w:val="21"/>
                <w:b/>
              </w:rPr>
              <w:t>秩序册</w:t>
            </w:r>
          </w:p>
          <w:p>
            <w:pPr>
              <w:pStyle w:val="null3"/>
            </w:pPr>
            <w:r>
              <w:rPr>
                <w:rFonts w:ascii="仿宋_GB2312" w:hAnsi="仿宋_GB2312" w:cs="仿宋_GB2312" w:eastAsia="仿宋_GB2312"/>
                <w:sz w:val="21"/>
              </w:rPr>
              <w:t>1.比赛秩序册由赛区组委会制作,秩序册制作数量可根据参赛队数量确定。秩序册内页内容应包括：</w:t>
            </w:r>
          </w:p>
          <w:p>
            <w:pPr>
              <w:pStyle w:val="null3"/>
            </w:pPr>
            <w:r>
              <w:rPr>
                <w:rFonts w:ascii="仿宋_GB2312" w:hAnsi="仿宋_GB2312" w:cs="仿宋_GB2312" w:eastAsia="仿宋_GB2312"/>
                <w:sz w:val="21"/>
              </w:rPr>
              <w:t>①秩序册目录</w:t>
            </w:r>
          </w:p>
          <w:p>
            <w:pPr>
              <w:pStyle w:val="null3"/>
            </w:pPr>
            <w:r>
              <w:rPr>
                <w:rFonts w:ascii="仿宋_GB2312" w:hAnsi="仿宋_GB2312" w:cs="仿宋_GB2312" w:eastAsia="仿宋_GB2312"/>
                <w:sz w:val="21"/>
              </w:rPr>
              <w:t>②赛区组委会员及办事机构成员名单、竞赛官员名单</w:t>
            </w:r>
          </w:p>
          <w:p>
            <w:pPr>
              <w:pStyle w:val="null3"/>
            </w:pPr>
            <w:r>
              <w:rPr>
                <w:rFonts w:ascii="仿宋_GB2312" w:hAnsi="仿宋_GB2312" w:cs="仿宋_GB2312" w:eastAsia="仿宋_GB2312"/>
                <w:sz w:val="21"/>
              </w:rPr>
              <w:t>③赛区纪律委员会和仲裁委员会成员名单</w:t>
            </w:r>
          </w:p>
          <w:p>
            <w:pPr>
              <w:pStyle w:val="null3"/>
            </w:pPr>
            <w:r>
              <w:rPr>
                <w:rFonts w:ascii="仿宋_GB2312" w:hAnsi="仿宋_GB2312" w:cs="仿宋_GB2312" w:eastAsia="仿宋_GB2312"/>
                <w:sz w:val="21"/>
              </w:rPr>
              <w:t>④竞赛规程总则</w:t>
            </w:r>
          </w:p>
          <w:p>
            <w:pPr>
              <w:pStyle w:val="null3"/>
            </w:pPr>
            <w:r>
              <w:rPr>
                <w:rFonts w:ascii="仿宋_GB2312" w:hAnsi="仿宋_GB2312" w:cs="仿宋_GB2312" w:eastAsia="仿宋_GB2312"/>
                <w:sz w:val="21"/>
              </w:rPr>
              <w:t>⑤竞赛规程</w:t>
            </w:r>
          </w:p>
          <w:p>
            <w:pPr>
              <w:pStyle w:val="null3"/>
            </w:pPr>
            <w:r>
              <w:rPr>
                <w:rFonts w:ascii="仿宋_GB2312" w:hAnsi="仿宋_GB2312" w:cs="仿宋_GB2312" w:eastAsia="仿宋_GB2312"/>
                <w:sz w:val="21"/>
              </w:rPr>
              <w:t>⑥赛区补充通知</w:t>
            </w:r>
          </w:p>
          <w:p>
            <w:pPr>
              <w:pStyle w:val="null3"/>
            </w:pPr>
            <w:r>
              <w:rPr>
                <w:rFonts w:ascii="仿宋_GB2312" w:hAnsi="仿宋_GB2312" w:cs="仿宋_GB2312" w:eastAsia="仿宋_GB2312"/>
                <w:sz w:val="21"/>
              </w:rPr>
              <w:t>⑦比赛期间各项活动日程</w:t>
            </w:r>
          </w:p>
          <w:p>
            <w:pPr>
              <w:pStyle w:val="null3"/>
            </w:pPr>
            <w:r>
              <w:rPr>
                <w:rFonts w:ascii="仿宋_GB2312" w:hAnsi="仿宋_GB2312" w:cs="仿宋_GB2312" w:eastAsia="仿宋_GB2312"/>
                <w:sz w:val="21"/>
              </w:rPr>
              <w:t>⑧竞赛日程</w:t>
            </w:r>
          </w:p>
          <w:p>
            <w:pPr>
              <w:pStyle w:val="null3"/>
            </w:pPr>
            <w:r>
              <w:rPr>
                <w:rFonts w:ascii="仿宋_GB2312" w:hAnsi="仿宋_GB2312" w:cs="仿宋_GB2312" w:eastAsia="仿宋_GB2312"/>
                <w:sz w:val="21"/>
              </w:rPr>
              <w:t>⑨参赛运动员名单</w:t>
            </w:r>
          </w:p>
          <w:p>
            <w:pPr>
              <w:pStyle w:val="null3"/>
            </w:pPr>
            <w:r>
              <w:rPr>
                <w:rFonts w:ascii="仿宋_GB2312" w:hAnsi="仿宋_GB2312" w:cs="仿宋_GB2312" w:eastAsia="仿宋_GB2312"/>
                <w:sz w:val="21"/>
              </w:rPr>
              <w:t>⑩其他补充说明</w:t>
            </w:r>
          </w:p>
          <w:p>
            <w:pPr>
              <w:pStyle w:val="null3"/>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九</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有关要求</w:t>
            </w:r>
          </w:p>
          <w:p>
            <w:pPr>
              <w:pStyle w:val="null3"/>
            </w:pPr>
            <w:r>
              <w:rPr>
                <w:rFonts w:ascii="仿宋_GB2312" w:hAnsi="仿宋_GB2312" w:cs="仿宋_GB2312" w:eastAsia="仿宋_GB2312"/>
                <w:sz w:val="21"/>
              </w:rPr>
              <w:t>1.做好竞赛组织各项工作；做好比赛监督、裁判监督、裁判员的选派工作。</w:t>
            </w:r>
          </w:p>
          <w:p>
            <w:pPr>
              <w:pStyle w:val="null3"/>
            </w:pPr>
            <w:r>
              <w:rPr>
                <w:rFonts w:ascii="仿宋_GB2312" w:hAnsi="仿宋_GB2312" w:cs="仿宋_GB2312" w:eastAsia="仿宋_GB2312"/>
                <w:sz w:val="21"/>
              </w:rPr>
              <w:t>2.对于在比赛中出现领队、教练员、队员有违规违纪行为，根据《中国足球协会纪律准则》、国家体育总局赛事相关要求和规定进行处罚。</w:t>
            </w:r>
          </w:p>
          <w:p>
            <w:pPr>
              <w:pStyle w:val="null3"/>
            </w:pPr>
            <w:r>
              <w:rPr>
                <w:rFonts w:ascii="仿宋_GB2312" w:hAnsi="仿宋_GB2312" w:cs="仿宋_GB2312" w:eastAsia="仿宋_GB2312"/>
                <w:sz w:val="21"/>
              </w:rPr>
              <w:t>3.加强安全管控。各单位要压实赛事活动安全监管责任，制定针对性强、便于操作、科学合理的安全风险防控和应急救助预案，建立一体化安全责任体系，确保比赛安全有序。提高安全综合保障能力和落实常态化疫情防控要求，确保配备医护人员（救护车）、购买参赛保险，提升交通安全、天气预警等综合保障水平。</w:t>
            </w:r>
          </w:p>
          <w:p>
            <w:pPr>
              <w:pStyle w:val="null3"/>
            </w:pPr>
            <w:r>
              <w:rPr>
                <w:rFonts w:ascii="仿宋_GB2312" w:hAnsi="仿宋_GB2312" w:cs="仿宋_GB2312" w:eastAsia="仿宋_GB2312"/>
                <w:sz w:val="21"/>
              </w:rPr>
              <w:t>4.落实好球迷观赛的组织工作。同时，通过媒体转播和宣传平台，营造积极向上的西安市城市足球联赛赛事氛围。</w:t>
            </w:r>
          </w:p>
          <w:p>
            <w:pPr>
              <w:pStyle w:val="null3"/>
              <w:jc w:val="both"/>
            </w:pPr>
            <w:r>
              <w:rPr>
                <w:rFonts w:ascii="仿宋_GB2312" w:hAnsi="仿宋_GB2312" w:cs="仿宋_GB2312" w:eastAsia="仿宋_GB2312"/>
                <w:sz w:val="21"/>
                <w:b/>
              </w:rPr>
              <w:t>5.本规程解释权属大会组委会，未尽事宜另行通知。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自赛事报名前开始至赛事服务结束。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采购人付款前，成交供应商应向采购人提供等额有效且符合采购人财务管理要求的增值税发票或者财政监制的非税收入票据，否则采购人有权拒绝付款且不承担违约责任,合同签订后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付款前，成交供应商应向采购人提供等额有效且符合采购人财务管理要求的增值税发票或者财政监制的非税收入票据，否则采购人有权拒绝付款且不承担违约责任；项目结束，按照实际场次据实结算，具体详见3.4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 ★2 甲方应当根据本合同约定按时向乙方付款，无正当理由迟延付款的，每迟延支付一日，应支付迟延付款金额0.1‰的违约金。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本项目支付约定为：采购包1： 付款条件说明： ★采购人付款前，成交供应商应向采购人提供等额有效且符合采购人财务管理要求的增值税发票或者财政监制的非税收入票据，否则采购人有权拒绝付款且不承担违约责任；合同签订后，达到付款条件起15日内，支付预付款合同总金额的50%。 采购包1： 付款条件说明： ★采购人付款前，成交供应商应向采购人提供等额有效且符合采购人财务管理要求的增值税发票或者财政监制的非税收入票据，否则采购人有权拒绝付款且不承担违约责任；项目结束，达到付款条件起30日内，按照实际场次据实结算最高支付合同总金额剩余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1、供应商需在项目电子化交易系统中按要求填写《投标函》完成承诺并进行电子签章。2、提供注册登记凭证（营业执照、其他组织经营的合法凭证，自然人的提供身份证明文件）。 3、具有良好的商业信誉和健全的财务会计制度。提供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4、具有履行合同所必需的设备和专业技术能力。提供声明文件。5、具有依法缴纳税收的良好记录。提供缴费2025年1月1日以来已缴纳任意一个月份（磋商截止时间当月不计入）的增值税（或所得税）缴费凭据或税务机关出具的完税证明/在法规范围内不需提供的应出具书面说明和证明文件/或具有依法缴纳税收的诚信声明。6、具有依法缴纳社会保障资金的良好记录。提供缴费2025年1月1日以来已缴纳任意一个月份（磋商截止时间当月不计入）的缴费凭据或社保机关出具的缴费证明/在法规范围内不需提供的应出具书面说明和证明文件/或具有依法缴纳社会保障资金的缴纳记录的诚信声明。 7、参加政府采购活动前3年内在经营活动中没有重大违法记录的书面声明。 备注：供应商需在项目电子化交易系统中按要求上传相应证明文件并进行电子签章。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业绩.docx 法定代表人身份证明.docx 服务内容及服务邀请应答表 法人代表授权书.docx 供应商基本情况表.docx 商务应答表 响应函 资格证明文件.docx 陕西省政府采购供应商拒绝政府采购领域商业贿赂承诺书.docx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法定代表人证明书或授权书</w:t>
            </w:r>
          </w:p>
        </w:tc>
        <w:tc>
          <w:tcPr>
            <w:tcW w:type="dxa" w:w="3322"/>
          </w:tcPr>
          <w:p>
            <w:pPr>
              <w:pStyle w:val="null3"/>
            </w:pPr>
            <w:r>
              <w:rPr>
                <w:rFonts w:ascii="仿宋_GB2312" w:hAnsi="仿宋_GB2312" w:cs="仿宋_GB2312" w:eastAsia="仿宋_GB2312"/>
              </w:rPr>
              <w:t>法定代表人直接磋商须提供法定代表人证明书，法定代表人授权代表参加磋商的，须出具法定代表人授权书，供应商需在项目电子化交易系统中按要求上传相应证明文件并进行电子签章；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法定代表人身份证明.docx 法人代表授权书.docx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政府采购严重违法失信行为记录名单中被财政部门禁止参加政府采购活动的供应商（本项内容由采购代理机构查询，节点为投标文件递交截止时间）；</w:t>
            </w:r>
          </w:p>
        </w:tc>
        <w:tc>
          <w:tcPr>
            <w:tcW w:type="dxa" w:w="1661"/>
          </w:tcPr>
          <w:p>
            <w:pPr>
              <w:pStyle w:val="null3"/>
            </w:pPr>
            <w:r>
              <w:rPr>
                <w:rFonts w:ascii="仿宋_GB2312" w:hAnsi="仿宋_GB2312" w:cs="仿宋_GB2312" w:eastAsia="仿宋_GB2312"/>
              </w:rPr>
              <w:t>法定代表人身份证明.docx 法人代表授权书.docx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磋商响应文件是否按照竞争性磋商文件要求的格式编写； 磋商响应文件内容是否有重大缺漏项。</w:t>
            </w:r>
          </w:p>
        </w:tc>
        <w:tc>
          <w:tcPr>
            <w:tcW w:type="dxa" w:w="1661"/>
          </w:tcPr>
          <w:p>
            <w:pPr>
              <w:pStyle w:val="null3"/>
            </w:pPr>
            <w:r>
              <w:rPr>
                <w:rFonts w:ascii="仿宋_GB2312" w:hAnsi="仿宋_GB2312" w:cs="仿宋_GB2312" w:eastAsia="仿宋_GB2312"/>
              </w:rPr>
              <w:t>业绩.docx 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磋商响应文件的签署、加盖印章是否有效；提供的 各种证明文件、数据、资料是否有效。</w:t>
            </w:r>
          </w:p>
        </w:tc>
        <w:tc>
          <w:tcPr>
            <w:tcW w:type="dxa" w:w="1661"/>
          </w:tcPr>
          <w:p>
            <w:pPr>
              <w:pStyle w:val="null3"/>
            </w:pPr>
            <w:r>
              <w:rPr>
                <w:rFonts w:ascii="仿宋_GB2312" w:hAnsi="仿宋_GB2312" w:cs="仿宋_GB2312" w:eastAsia="仿宋_GB2312"/>
              </w:rPr>
              <w:t>业绩.docx 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① 响应报价是否超过采购预算；② 响应报价有效期是否符合竞争性磋商文件的要求；③ 响应文件内容是否符合国家法律法规，没有重大偏离；④对竞争性磋商文件中规定的要求是否做出了实质性响应。</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根据供应商提供的策划方案（包括但不限于对本项目的基本思路，工作计划赛事备案、场地搭建布置、赛事策划、参赛邀请、志愿者招募、人员培训等内容）进行综合赋分： 策划方案内容详细全面、合理且针对性、可行性强，得[10,15]分； 策划方案内容全面，具有可行性，得[5,10)分； 策划方案内容欠缺，较难实施，得[1,5)分； 未提供策划方案得0分。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赛事服务、后勤保障方案</w:t>
            </w:r>
          </w:p>
        </w:tc>
        <w:tc>
          <w:tcPr>
            <w:tcW w:type="dxa" w:w="2492"/>
          </w:tcPr>
          <w:p>
            <w:pPr>
              <w:pStyle w:val="null3"/>
            </w:pPr>
            <w:r>
              <w:rPr>
                <w:rFonts w:ascii="仿宋_GB2312" w:hAnsi="仿宋_GB2312" w:cs="仿宋_GB2312" w:eastAsia="仿宋_GB2312"/>
              </w:rPr>
              <w:t>根据供应商提供的赛事服务、后勤保障方案（包括但不限于人员安排、物资准备、场地养护、现场秩序维护、交通指引、住宿服务等内容）进行综合赋分： 方案内容详细全面、合理且针对性、可行性强，得[9,14]分； 方案内容全面，具有可行性，得[4,9)分； 方案内容欠缺，较难实施，得[1,4)分； 未提供赛事服务、后勤保障方案得0分。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根据供应商提供的宣传方案（包括但不限于目标受众、营销策略、合作推广、宣传渠道、资金预算等内容）进行综合赋分： 方案内容全面，思路清晰明确，有创意，且针对性、可行性强，得[7,10]分； 方案内容全面，思路明确，具有可行性，得[4,7)分； 方案内容欠缺，较难实施，得[1,4)分； 未提供宣传方案得0分。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根据供应商提供的应急预案（包括但不限于应急培训和演练、应急通信、事后处理等内容）进行综合赋分： 应急预案内容全面有针对性，人员设备已落实到位，得[7,10]分； 应急预案内容匮乏，人员设备已落实到位，得[4,7)分； 应急预案内容混乱，人员设备未落实到位，得[1,4)分； 未提供应急预案得0分。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医疗及保险方案</w:t>
            </w:r>
          </w:p>
        </w:tc>
        <w:tc>
          <w:tcPr>
            <w:tcW w:type="dxa" w:w="2492"/>
          </w:tcPr>
          <w:p>
            <w:pPr>
              <w:pStyle w:val="null3"/>
            </w:pPr>
            <w:r>
              <w:rPr>
                <w:rFonts w:ascii="仿宋_GB2312" w:hAnsi="仿宋_GB2312" w:cs="仿宋_GB2312" w:eastAsia="仿宋_GB2312"/>
              </w:rPr>
              <w:t>根据供应商提供的医疗及保险方案（包括但不限于医疗救援服务、培训教育、赛事运营合作医院、保险服务单位证明材料等内容）进行综合赋分： 方案内容详细合理，可行性强，得[7,10]分； 方案内容合理，具有可行性，得[4,7)分； 方案内容欠缺，较难实施，得[1,4)分； 未提供医疗及保险方案得0分。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根据供应商提供2022年至今完成过类似项目的业绩，每提供一个得3分，满分6分，不提供不得分。（以上业绩在响应文件中需提供中标（成交）通知书复印件或采购合同复印件）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场地布置设计</w:t>
            </w:r>
          </w:p>
        </w:tc>
        <w:tc>
          <w:tcPr>
            <w:tcW w:type="dxa" w:w="2492"/>
          </w:tcPr>
          <w:p>
            <w:pPr>
              <w:pStyle w:val="null3"/>
            </w:pPr>
            <w:r>
              <w:rPr>
                <w:rFonts w:ascii="仿宋_GB2312" w:hAnsi="仿宋_GB2312" w:cs="仿宋_GB2312" w:eastAsia="仿宋_GB2312"/>
              </w:rPr>
              <w:t>根据供应商提供的场地布置设计（包括但不限于设计图纸、赛场和场地布置、施工进度计划安排等内容）进行综合赋分： 设计思路清晰明确，布置效果贴合主题，特点突出，可行性强，得[7,10]分； 设计思路清晰，布置效果合理，具有可行性，得[4,7)分； 设计思路混乱，较难实施，得[1,4)分； 未提供场地布置设计得0分。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拟派项目团队</w:t>
            </w:r>
          </w:p>
        </w:tc>
        <w:tc>
          <w:tcPr>
            <w:tcW w:type="dxa" w:w="2492"/>
          </w:tcPr>
          <w:p>
            <w:pPr>
              <w:pStyle w:val="null3"/>
            </w:pPr>
            <w:r>
              <w:rPr>
                <w:rFonts w:ascii="仿宋_GB2312" w:hAnsi="仿宋_GB2312" w:cs="仿宋_GB2312" w:eastAsia="仿宋_GB2312"/>
              </w:rPr>
              <w:t>根据供应商提供的拟派项目团队（包括组织管理机构设置、拟投入人员数量、职责分工等内容）进行综合赋分： 拟派项目团队包含3名及以上具备同类赛事活动经验的专业人员，人员组成明确，分工详细，得[10,15]分； 拟派项目团队包含1名及以上具备同类赛事活动经验的专业人员，人员分工明确，得[5,10)分； 拟派项目团队团队无同类赛事活动经验的专业人员，人员分工混乱，得[1,5)分； 未提供拟派项目团队得0分。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10分）。其他供应商的价格分统一按照下列公式计算：响应报价得分=(基准价／响应报价（最后报价）)×10分。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