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A7DEE">
      <w:pPr>
        <w:spacing w:before="240" w:line="360" w:lineRule="auto"/>
        <w:jc w:val="center"/>
        <w:rPr>
          <w:rFonts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报价表</w:t>
      </w:r>
    </w:p>
    <w:p w14:paraId="6F0ADB8B">
      <w:pPr>
        <w:jc w:val="center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sz w:val="32"/>
          <w:szCs w:val="32"/>
          <w:highlight w:val="none"/>
        </w:rPr>
        <w:t>.1开标一览表</w:t>
      </w:r>
    </w:p>
    <w:p w14:paraId="4E721130">
      <w:pPr>
        <w:rPr>
          <w:rFonts w:ascii="宋体" w:hAnsi="宋体" w:cs="宋体"/>
          <w:sz w:val="24"/>
          <w:szCs w:val="24"/>
          <w:highlight w:val="none"/>
        </w:rPr>
      </w:pPr>
    </w:p>
    <w:p w14:paraId="3F9B05DB">
      <w:pPr>
        <w:spacing w:after="10" w:line="360" w:lineRule="auto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</w:p>
    <w:tbl>
      <w:tblPr>
        <w:tblStyle w:val="3"/>
        <w:tblW w:w="4961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69"/>
        <w:gridCol w:w="3388"/>
        <w:gridCol w:w="1962"/>
        <w:gridCol w:w="1378"/>
      </w:tblGrid>
      <w:tr w14:paraId="07FB8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9" w:hRule="atLeast"/>
        </w:trPr>
        <w:tc>
          <w:tcPr>
            <w:tcW w:w="1569" w:type="dxa"/>
            <w:noWrap w:val="0"/>
            <w:vAlign w:val="center"/>
          </w:tcPr>
          <w:p w14:paraId="6D21DFDE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项目名称</w:t>
            </w:r>
          </w:p>
        </w:tc>
        <w:tc>
          <w:tcPr>
            <w:tcW w:w="3388" w:type="dxa"/>
            <w:noWrap w:val="0"/>
            <w:vAlign w:val="center"/>
          </w:tcPr>
          <w:p w14:paraId="789E5E3B">
            <w:pPr>
              <w:spacing w:after="120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总报价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（元）</w:t>
            </w:r>
          </w:p>
        </w:tc>
        <w:tc>
          <w:tcPr>
            <w:tcW w:w="1962" w:type="dxa"/>
            <w:noWrap w:val="0"/>
            <w:vAlign w:val="center"/>
          </w:tcPr>
          <w:p w14:paraId="7F840AE0">
            <w:pPr>
              <w:spacing w:after="120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服务期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限</w:t>
            </w:r>
          </w:p>
        </w:tc>
        <w:tc>
          <w:tcPr>
            <w:tcW w:w="1378" w:type="dxa"/>
            <w:noWrap w:val="0"/>
            <w:vAlign w:val="center"/>
          </w:tcPr>
          <w:p w14:paraId="43CC9C6E">
            <w:pPr>
              <w:spacing w:after="120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服务地点</w:t>
            </w:r>
          </w:p>
        </w:tc>
      </w:tr>
      <w:tr w14:paraId="578BF6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02" w:hRule="atLeast"/>
        </w:trPr>
        <w:tc>
          <w:tcPr>
            <w:tcW w:w="1569" w:type="dxa"/>
            <w:noWrap w:val="0"/>
            <w:vAlign w:val="center"/>
          </w:tcPr>
          <w:p w14:paraId="1D8E1EE3">
            <w:pPr>
              <w:jc w:val="center"/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2025年西安城市足球联赛</w:t>
            </w:r>
          </w:p>
        </w:tc>
        <w:tc>
          <w:tcPr>
            <w:tcW w:w="3388" w:type="dxa"/>
            <w:noWrap w:val="0"/>
            <w:vAlign w:val="center"/>
          </w:tcPr>
          <w:p w14:paraId="13CEB44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53334AF0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highlight w:val="none"/>
              </w:rPr>
              <w:t>自赛事报名前开始至赛事服务结束</w:t>
            </w:r>
          </w:p>
        </w:tc>
        <w:tc>
          <w:tcPr>
            <w:tcW w:w="1378" w:type="dxa"/>
            <w:noWrap w:val="0"/>
            <w:vAlign w:val="center"/>
          </w:tcPr>
          <w:p w14:paraId="0700EECE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</w:rPr>
              <w:t>采购人指定地点</w:t>
            </w:r>
          </w:p>
        </w:tc>
      </w:tr>
      <w:tr w14:paraId="5DB580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02" w:hRule="atLeast"/>
        </w:trPr>
        <w:tc>
          <w:tcPr>
            <w:tcW w:w="4957" w:type="dxa"/>
            <w:gridSpan w:val="2"/>
            <w:noWrap w:val="0"/>
            <w:vAlign w:val="center"/>
          </w:tcPr>
          <w:p w14:paraId="5D166BC6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总报价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（元）</w:t>
            </w:r>
          </w:p>
        </w:tc>
        <w:tc>
          <w:tcPr>
            <w:tcW w:w="3340" w:type="dxa"/>
            <w:gridSpan w:val="2"/>
            <w:noWrap w:val="0"/>
            <w:vAlign w:val="center"/>
          </w:tcPr>
          <w:p w14:paraId="589B4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小写金额：</w:t>
            </w:r>
          </w:p>
          <w:p w14:paraId="0FEA0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</w:pPr>
          </w:p>
          <w:p w14:paraId="3E89C6D9">
            <w:pPr>
              <w:jc w:val="both"/>
              <w:rPr>
                <w:rFonts w:hint="eastAsia" w:hAnsi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大写金额：</w:t>
            </w:r>
          </w:p>
        </w:tc>
      </w:tr>
    </w:tbl>
    <w:p w14:paraId="7750BB09">
      <w:pPr>
        <w:spacing w:line="360" w:lineRule="auto"/>
        <w:rPr>
          <w:rFonts w:hint="default" w:ascii="宋体" w:hAnsi="宋体" w:cs="宋体"/>
          <w:b/>
          <w:szCs w:val="21"/>
          <w:highlight w:val="none"/>
          <w:lang w:val="en-US"/>
        </w:rPr>
      </w:pPr>
      <w:r>
        <w:rPr>
          <w:rFonts w:hint="eastAsia" w:ascii="宋体" w:hAnsi="宋体" w:cs="宋体"/>
          <w:b/>
          <w:szCs w:val="21"/>
          <w:highlight w:val="none"/>
        </w:rPr>
        <w:t>备注：供应商</w:t>
      </w:r>
      <w:r>
        <w:rPr>
          <w:rFonts w:hint="eastAsia" w:ascii="宋体" w:hAnsi="宋体" w:cs="宋体"/>
          <w:b/>
          <w:szCs w:val="21"/>
          <w:highlight w:val="none"/>
          <w:lang w:val="en-US" w:eastAsia="zh-CN"/>
        </w:rPr>
        <w:t>同时</w:t>
      </w:r>
      <w:r>
        <w:rPr>
          <w:rFonts w:hint="eastAsia" w:ascii="宋体" w:hAnsi="宋体" w:cs="宋体"/>
          <w:b/>
          <w:szCs w:val="21"/>
          <w:highlight w:val="none"/>
        </w:rPr>
        <w:t>在电子化交易系统上填写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总报价，需与本表保持一致。</w:t>
      </w:r>
    </w:p>
    <w:p w14:paraId="1FC8C138">
      <w:pPr>
        <w:spacing w:line="360" w:lineRule="auto"/>
        <w:rPr>
          <w:rFonts w:ascii="宋体" w:hAnsi="宋体" w:cs="宋体"/>
          <w:b/>
          <w:bCs/>
          <w:szCs w:val="21"/>
          <w:highlight w:val="none"/>
        </w:rPr>
      </w:pPr>
    </w:p>
    <w:p w14:paraId="4E0A38DC">
      <w:pPr>
        <w:spacing w:line="360" w:lineRule="auto"/>
        <w:ind w:left="105" w:leftChars="50"/>
        <w:rPr>
          <w:rFonts w:ascii="宋体" w:hAnsi="宋体" w:cs="宋体"/>
          <w:szCs w:val="21"/>
          <w:highlight w:val="none"/>
        </w:rPr>
      </w:pPr>
    </w:p>
    <w:p w14:paraId="7D17B357">
      <w:pPr>
        <w:spacing w:line="360" w:lineRule="auto"/>
        <w:rPr>
          <w:rFonts w:ascii="宋体" w:hAnsi="宋体" w:cs="宋体"/>
          <w:highlight w:val="none"/>
        </w:rPr>
      </w:pPr>
    </w:p>
    <w:p w14:paraId="6929CCD9">
      <w:pPr>
        <w:rPr>
          <w:rFonts w:ascii="宋体" w:hAnsi="宋体" w:cs="宋体"/>
          <w:sz w:val="24"/>
          <w:szCs w:val="24"/>
          <w:highlight w:val="none"/>
        </w:rPr>
      </w:pPr>
    </w:p>
    <w:p w14:paraId="5504252B">
      <w:pPr>
        <w:spacing w:before="312" w:beforeLines="100" w:after="312" w:afterLines="100" w:line="360" w:lineRule="auto"/>
        <w:rPr>
          <w:rFonts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供应商名称：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（加盖公章）</w:t>
      </w:r>
    </w:p>
    <w:p w14:paraId="5B72CB90">
      <w:pPr>
        <w:spacing w:before="312" w:beforeLines="100" w:after="312" w:afterLines="100" w:line="360" w:lineRule="auto"/>
        <w:rPr>
          <w:rFonts w:hint="eastAsia" w:ascii="宋体" w:hAnsi="宋体" w:cs="宋体"/>
          <w:spacing w:val="4"/>
          <w:szCs w:val="21"/>
          <w:highlight w:val="none"/>
          <w:u w:val="singl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法定代表人或授权代表（签字或盖章）：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        </w:t>
      </w:r>
    </w:p>
    <w:p w14:paraId="0510EF6F">
      <w:pPr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br w:type="page"/>
      </w:r>
      <w:bookmarkStart w:id="0" w:name="_Toc14802"/>
      <w:r>
        <w:rPr>
          <w:rFonts w:hint="eastAsia" w:ascii="宋体" w:hAnsi="宋体"/>
          <w:b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宋体" w:hAnsi="宋体"/>
          <w:b/>
          <w:sz w:val="32"/>
          <w:szCs w:val="32"/>
          <w:highlight w:val="none"/>
        </w:rPr>
        <w:t>.2分项报价表</w:t>
      </w:r>
      <w:bookmarkEnd w:id="0"/>
    </w:p>
    <w:p w14:paraId="07EC8E2B">
      <w:pPr>
        <w:rPr>
          <w:rFonts w:hint="eastAsia" w:ascii="宋体" w:hAnsi="宋体"/>
          <w:b/>
          <w:sz w:val="30"/>
          <w:szCs w:val="30"/>
        </w:rPr>
      </w:pPr>
    </w:p>
    <w:p w14:paraId="66FE949A">
      <w:pPr>
        <w:spacing w:after="10" w:line="360" w:lineRule="auto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供应商名称：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>项目编号：</w:t>
      </w:r>
      <w:r>
        <w:rPr>
          <w:rFonts w:hint="eastAsia" w:ascii="宋体" w:hAnsi="宋体" w:cs="宋体"/>
          <w:b/>
          <w:bCs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                          </w:t>
      </w:r>
    </w:p>
    <w:tbl>
      <w:tblPr>
        <w:tblStyle w:val="4"/>
        <w:tblpPr w:leftFromText="180" w:rightFromText="180" w:vertAnchor="text" w:horzAnchor="page" w:tblpX="1643" w:tblpY="295"/>
        <w:tblOverlap w:val="never"/>
        <w:tblW w:w="99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233"/>
        <w:gridCol w:w="1384"/>
        <w:gridCol w:w="1392"/>
        <w:gridCol w:w="1392"/>
        <w:gridCol w:w="1684"/>
        <w:gridCol w:w="1050"/>
      </w:tblGrid>
      <w:tr w14:paraId="1A11E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848" w:type="dxa"/>
            <w:noWrap w:val="0"/>
            <w:vAlign w:val="center"/>
          </w:tcPr>
          <w:p w14:paraId="0F72F809">
            <w:pPr>
              <w:bidi w:val="0"/>
              <w:jc w:val="center"/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序号</w:t>
            </w:r>
          </w:p>
        </w:tc>
        <w:tc>
          <w:tcPr>
            <w:tcW w:w="2233" w:type="dxa"/>
            <w:noWrap w:val="0"/>
            <w:vAlign w:val="center"/>
          </w:tcPr>
          <w:p w14:paraId="6D85748E">
            <w:pPr>
              <w:bidi w:val="0"/>
              <w:jc w:val="center"/>
              <w:rPr>
                <w:rFonts w:hint="default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服务内容</w:t>
            </w:r>
          </w:p>
        </w:tc>
        <w:tc>
          <w:tcPr>
            <w:tcW w:w="1384" w:type="dxa"/>
            <w:noWrap w:val="0"/>
            <w:vAlign w:val="center"/>
          </w:tcPr>
          <w:p w14:paraId="57AEF1CF">
            <w:pPr>
              <w:bidi w:val="0"/>
              <w:jc w:val="center"/>
              <w:rPr>
                <w:rFonts w:hint="default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赛区</w:t>
            </w:r>
          </w:p>
        </w:tc>
        <w:tc>
          <w:tcPr>
            <w:tcW w:w="1392" w:type="dxa"/>
            <w:noWrap w:val="0"/>
            <w:vAlign w:val="center"/>
          </w:tcPr>
          <w:p w14:paraId="7CBE1F56">
            <w:pPr>
              <w:bidi w:val="0"/>
              <w:jc w:val="center"/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场次</w:t>
            </w:r>
          </w:p>
        </w:tc>
        <w:tc>
          <w:tcPr>
            <w:tcW w:w="1392" w:type="dxa"/>
            <w:noWrap w:val="0"/>
            <w:vAlign w:val="center"/>
          </w:tcPr>
          <w:p w14:paraId="45D77147">
            <w:pPr>
              <w:bidi w:val="0"/>
              <w:jc w:val="center"/>
              <w:rPr>
                <w:rFonts w:hint="default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684" w:type="dxa"/>
            <w:noWrap w:val="0"/>
            <w:vAlign w:val="center"/>
          </w:tcPr>
          <w:p w14:paraId="4D302269">
            <w:pPr>
              <w:bidi w:val="0"/>
              <w:jc w:val="center"/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总价（元）</w:t>
            </w:r>
          </w:p>
        </w:tc>
        <w:tc>
          <w:tcPr>
            <w:tcW w:w="1050" w:type="dxa"/>
            <w:noWrap w:val="0"/>
            <w:vAlign w:val="center"/>
          </w:tcPr>
          <w:p w14:paraId="4766F942">
            <w:pPr>
              <w:bidi w:val="0"/>
              <w:jc w:val="center"/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highlight w:val="none"/>
                <w:lang w:val="en-US" w:eastAsia="zh-CN"/>
              </w:rPr>
              <w:t>备注</w:t>
            </w:r>
          </w:p>
        </w:tc>
      </w:tr>
      <w:tr w14:paraId="46830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48" w:type="dxa"/>
            <w:noWrap w:val="0"/>
            <w:vAlign w:val="center"/>
          </w:tcPr>
          <w:p w14:paraId="1F08165F">
            <w:pPr>
              <w:tabs>
                <w:tab w:val="left" w:pos="530"/>
              </w:tabs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233" w:type="dxa"/>
            <w:noWrap w:val="0"/>
            <w:vAlign w:val="center"/>
          </w:tcPr>
          <w:p w14:paraId="5E8AC649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乙级联赛</w:t>
            </w:r>
          </w:p>
        </w:tc>
        <w:tc>
          <w:tcPr>
            <w:tcW w:w="1384" w:type="dxa"/>
            <w:noWrap w:val="0"/>
            <w:vAlign w:val="center"/>
          </w:tcPr>
          <w:p w14:paraId="71044F79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392" w:type="dxa"/>
            <w:noWrap w:val="0"/>
            <w:vAlign w:val="center"/>
          </w:tcPr>
          <w:p w14:paraId="08F4079C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38</w:t>
            </w:r>
          </w:p>
        </w:tc>
        <w:tc>
          <w:tcPr>
            <w:tcW w:w="1392" w:type="dxa"/>
            <w:noWrap w:val="0"/>
            <w:vAlign w:val="center"/>
          </w:tcPr>
          <w:p w14:paraId="3DA82D1A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6EBBEFF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7635621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A25D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48" w:type="dxa"/>
            <w:noWrap w:val="0"/>
            <w:vAlign w:val="center"/>
          </w:tcPr>
          <w:p w14:paraId="177E93FA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233" w:type="dxa"/>
            <w:noWrap w:val="0"/>
            <w:vAlign w:val="center"/>
          </w:tcPr>
          <w:p w14:paraId="6F2DD2D8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甲级联赛</w:t>
            </w:r>
          </w:p>
        </w:tc>
        <w:tc>
          <w:tcPr>
            <w:tcW w:w="1384" w:type="dxa"/>
            <w:noWrap w:val="0"/>
            <w:vAlign w:val="center"/>
          </w:tcPr>
          <w:p w14:paraId="5372B01C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92" w:type="dxa"/>
            <w:noWrap w:val="0"/>
            <w:vAlign w:val="center"/>
          </w:tcPr>
          <w:p w14:paraId="090BACA9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1392" w:type="dxa"/>
            <w:noWrap w:val="0"/>
            <w:vAlign w:val="center"/>
          </w:tcPr>
          <w:p w14:paraId="667FA154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4A4C5469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725C910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FF40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48" w:type="dxa"/>
            <w:noWrap w:val="0"/>
            <w:vAlign w:val="center"/>
          </w:tcPr>
          <w:p w14:paraId="192F797A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233" w:type="dxa"/>
            <w:noWrap w:val="0"/>
            <w:vAlign w:val="center"/>
          </w:tcPr>
          <w:p w14:paraId="3AFB2C9D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其他费用</w:t>
            </w:r>
            <w:bookmarkStart w:id="1" w:name="_GoBack"/>
            <w:bookmarkEnd w:id="1"/>
          </w:p>
        </w:tc>
        <w:tc>
          <w:tcPr>
            <w:tcW w:w="1384" w:type="dxa"/>
            <w:noWrap w:val="0"/>
            <w:vAlign w:val="center"/>
          </w:tcPr>
          <w:p w14:paraId="704D9074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0649C28D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37F21760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2DB6DED2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F5C2E33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9F3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48" w:type="dxa"/>
            <w:noWrap w:val="0"/>
            <w:vAlign w:val="center"/>
          </w:tcPr>
          <w:p w14:paraId="6BCEA2BC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233" w:type="dxa"/>
            <w:noWrap w:val="0"/>
            <w:vAlign w:val="center"/>
          </w:tcPr>
          <w:p w14:paraId="65DF616A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84" w:type="dxa"/>
            <w:noWrap w:val="0"/>
            <w:vAlign w:val="center"/>
          </w:tcPr>
          <w:p w14:paraId="067954AA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0DC68006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17AD9213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6B9AFF5B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3E6D629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1116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848" w:type="dxa"/>
            <w:noWrap w:val="0"/>
            <w:vAlign w:val="center"/>
          </w:tcPr>
          <w:p w14:paraId="22B13DAD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2233" w:type="dxa"/>
            <w:noWrap w:val="0"/>
            <w:vAlign w:val="center"/>
          </w:tcPr>
          <w:p w14:paraId="5F02C8BD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384" w:type="dxa"/>
            <w:noWrap w:val="0"/>
            <w:vAlign w:val="center"/>
          </w:tcPr>
          <w:p w14:paraId="69A18982">
            <w:pPr>
              <w:pStyle w:val="2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392" w:type="dxa"/>
            <w:noWrap w:val="0"/>
            <w:vAlign w:val="center"/>
          </w:tcPr>
          <w:p w14:paraId="04A73694"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3C6CADD7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684" w:type="dxa"/>
            <w:noWrap w:val="0"/>
            <w:vAlign w:val="center"/>
          </w:tcPr>
          <w:p w14:paraId="77A1F576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563919B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41742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/>
        </w:rPr>
      </w:pPr>
    </w:p>
    <w:p w14:paraId="4CEB5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/>
        </w:rPr>
      </w:pPr>
    </w:p>
    <w:p w14:paraId="64CE5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1.供应商应根据“第三章 磋商项目技术、服务、商务及其他要求”进行报价；</w:t>
      </w:r>
    </w:p>
    <w:p w14:paraId="6A511A2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“分项报价表”</w:t>
      </w: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lang w:val="en-US" w:eastAsia="zh-CN"/>
        </w:rPr>
        <w:t>合计总价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应与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总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报价一致。</w:t>
      </w:r>
    </w:p>
    <w:p w14:paraId="2187085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lang w:val="en-US" w:eastAsia="zh-CN"/>
        </w:rPr>
        <w:t>本表只用于合同实施据实结算。</w:t>
      </w:r>
    </w:p>
    <w:p w14:paraId="1CE75C0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本表可在不改变格式的情况下根据具体需要自行增减</w:t>
      </w: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lang w:eastAsia="zh-CN"/>
        </w:rPr>
        <w:t>。</w:t>
      </w:r>
    </w:p>
    <w:p w14:paraId="2F3F3C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029C9D"/>
    <w:multiLevelType w:val="singleLevel"/>
    <w:tmpl w:val="10029C9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B6883"/>
    <w:rsid w:val="2C204FF3"/>
    <w:rsid w:val="6C43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ind w:firstLine="420"/>
      <w:jc w:val="left"/>
    </w:pPr>
    <w:rPr>
      <w:kern w:val="0"/>
      <w:sz w:val="20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314</Characters>
  <Lines>0</Lines>
  <Paragraphs>0</Paragraphs>
  <TotalTime>0</TotalTime>
  <ScaleCrop>false</ScaleCrop>
  <LinksUpToDate>false</LinksUpToDate>
  <CharactersWithSpaces>514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2025-05-22T03:20:00Z</dcterms:created>
  <dc:creator>东海</dc:creator>
  <cp:lastModifiedBy>东海</cp:lastModifiedBy>
  <dcterms:modified xsi:type="dcterms:W3CDTF">2025-05-22T08:42:25Z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eyJoZGlkIjoiZTYyNDFiYzU4ZDBjMjE1N2Y0MjM3ZGFkODE0ZDhiMWIiLCJ1c2VySWQiOiIzMDQ1NjQ2MjcifQ==</vt:lpwstr>
  </property>
  <property fmtid="{D5CDD505-2E9C-101B-9397-08002B2CF9AE}" pid="4" name="ICV">
    <vt:lpwstr>3D82C926832545D38AF4AEE0914D2635_12</vt:lpwstr>
  </property>
</Properties>
</file>