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FC39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19916"/>
      <w:bookmarkStart w:id="1" w:name="_Toc23324"/>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28853"/>
      <w:bookmarkStart w:id="3" w:name="_Toc8687"/>
    </w:p>
    <w:bookmarkEnd w:id="2"/>
    <w:bookmarkEnd w:id="3"/>
    <w:p w14:paraId="6F643147">
      <w:pPr>
        <w:spacing w:line="420" w:lineRule="exact"/>
        <w:ind w:firstLine="480"/>
        <w:jc w:val="center"/>
        <w:outlineLvl w:val="9"/>
        <w:rPr>
          <w:rStyle w:val="7"/>
          <w:rFonts w:hint="eastAsia"/>
        </w:rPr>
      </w:pPr>
    </w:p>
    <w:p w14:paraId="4C71989E">
      <w:pPr>
        <w:spacing w:line="420" w:lineRule="exact"/>
        <w:ind w:firstLine="480"/>
        <w:jc w:val="center"/>
        <w:outlineLvl w:val="9"/>
        <w:rPr>
          <w:rStyle w:val="7"/>
          <w:rFonts w:hint="eastAsia"/>
        </w:rPr>
      </w:pPr>
    </w:p>
    <w:p w14:paraId="22E90AE2">
      <w:pPr>
        <w:spacing w:line="420" w:lineRule="exact"/>
        <w:ind w:firstLine="480"/>
        <w:jc w:val="center"/>
        <w:outlineLvl w:val="9"/>
        <w:rPr>
          <w:rStyle w:val="7"/>
          <w:rFonts w:hint="eastAsia"/>
        </w:rPr>
      </w:pPr>
    </w:p>
    <w:p w14:paraId="725E22E1">
      <w:pPr>
        <w:spacing w:line="420" w:lineRule="exact"/>
        <w:ind w:firstLine="480"/>
        <w:jc w:val="center"/>
        <w:outlineLvl w:val="9"/>
        <w:rPr>
          <w:rStyle w:val="7"/>
          <w:rFonts w:hint="eastAsia"/>
        </w:rPr>
      </w:pPr>
    </w:p>
    <w:p w14:paraId="1B6EC1B6">
      <w:pPr>
        <w:spacing w:line="420" w:lineRule="exact"/>
        <w:ind w:firstLine="480"/>
        <w:jc w:val="center"/>
        <w:outlineLvl w:val="9"/>
        <w:rPr>
          <w:rStyle w:val="7"/>
          <w:rFonts w:hint="eastAsia"/>
        </w:rPr>
      </w:pPr>
    </w:p>
    <w:p w14:paraId="1F6B25A4">
      <w:pPr>
        <w:spacing w:line="420" w:lineRule="exact"/>
        <w:ind w:firstLine="480"/>
        <w:jc w:val="center"/>
        <w:outlineLvl w:val="9"/>
        <w:rPr>
          <w:rStyle w:val="7"/>
          <w:rFonts w:hint="eastAsia"/>
        </w:rPr>
      </w:pPr>
    </w:p>
    <w:p w14:paraId="646B5D4C">
      <w:pPr>
        <w:spacing w:line="420" w:lineRule="exact"/>
        <w:ind w:firstLine="480"/>
        <w:jc w:val="center"/>
        <w:outlineLvl w:val="9"/>
        <w:rPr>
          <w:rStyle w:val="7"/>
          <w:rFonts w:hint="eastAsia"/>
        </w:rPr>
      </w:pPr>
    </w:p>
    <w:p w14:paraId="40BCCA51">
      <w:pPr>
        <w:spacing w:line="420" w:lineRule="exact"/>
        <w:ind w:firstLine="480"/>
        <w:jc w:val="center"/>
        <w:outlineLvl w:val="9"/>
        <w:rPr>
          <w:rStyle w:val="7"/>
          <w:rFonts w:hint="eastAsia"/>
        </w:rPr>
      </w:pPr>
    </w:p>
    <w:p w14:paraId="07DA6A09">
      <w:pPr>
        <w:spacing w:line="420" w:lineRule="exact"/>
        <w:ind w:firstLine="480"/>
        <w:jc w:val="center"/>
        <w:outlineLvl w:val="9"/>
        <w:rPr>
          <w:rStyle w:val="7"/>
          <w:rFonts w:hint="eastAsia"/>
        </w:rPr>
      </w:pPr>
    </w:p>
    <w:p w14:paraId="2480AD19">
      <w:pPr>
        <w:spacing w:line="420" w:lineRule="exact"/>
        <w:ind w:firstLine="480"/>
        <w:jc w:val="center"/>
        <w:outlineLvl w:val="9"/>
        <w:rPr>
          <w:rStyle w:val="7"/>
          <w:rFonts w:hint="eastAsia"/>
        </w:rPr>
      </w:pPr>
    </w:p>
    <w:p w14:paraId="0521EFC6">
      <w:pPr>
        <w:spacing w:line="420" w:lineRule="exact"/>
        <w:jc w:val="both"/>
        <w:outlineLvl w:val="9"/>
        <w:rPr>
          <w:rStyle w:val="7"/>
          <w:rFonts w:hint="eastAsia"/>
        </w:rPr>
      </w:pPr>
    </w:p>
    <w:p w14:paraId="6BE284FC">
      <w:pPr>
        <w:spacing w:line="420" w:lineRule="exact"/>
        <w:ind w:firstLine="480"/>
        <w:jc w:val="center"/>
        <w:outlineLvl w:val="9"/>
        <w:rPr>
          <w:rStyle w:val="7"/>
          <w:rFonts w:hint="eastAsia"/>
        </w:rPr>
      </w:pPr>
    </w:p>
    <w:p w14:paraId="3A97B404">
      <w:pPr>
        <w:spacing w:line="420" w:lineRule="exact"/>
        <w:ind w:firstLine="480"/>
        <w:jc w:val="center"/>
        <w:outlineLvl w:val="9"/>
        <w:rPr>
          <w:rStyle w:val="7"/>
          <w:rFonts w:hint="eastAsia"/>
        </w:rPr>
      </w:pPr>
    </w:p>
    <w:p w14:paraId="616629B9">
      <w:pPr>
        <w:bidi w:val="0"/>
        <w:jc w:val="center"/>
        <w:rPr>
          <w:rFonts w:hint="eastAsia"/>
          <w:b/>
          <w:bCs/>
          <w:sz w:val="32"/>
          <w:szCs w:val="32"/>
          <w:lang w:eastAsia="zh-CN"/>
        </w:rPr>
      </w:pPr>
      <w:bookmarkStart w:id="4" w:name="_Toc19789"/>
      <w:bookmarkStart w:id="5" w:name="_Toc8702"/>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27240A55">
      <w:pPr>
        <w:spacing w:line="420" w:lineRule="exact"/>
        <w:ind w:firstLine="480"/>
        <w:jc w:val="center"/>
        <w:outlineLvl w:val="9"/>
        <w:rPr>
          <w:rStyle w:val="7"/>
          <w:rFonts w:hint="eastAsia" w:eastAsia="宋体"/>
          <w:lang w:eastAsia="zh-CN"/>
        </w:rPr>
      </w:pPr>
    </w:p>
    <w:p w14:paraId="5EB84052">
      <w:pPr>
        <w:spacing w:line="420" w:lineRule="exact"/>
        <w:ind w:firstLine="480"/>
        <w:jc w:val="center"/>
        <w:outlineLvl w:val="9"/>
        <w:rPr>
          <w:rStyle w:val="7"/>
          <w:rFonts w:hint="eastAsia" w:eastAsia="宋体"/>
          <w:lang w:eastAsia="zh-CN"/>
        </w:rPr>
      </w:pPr>
    </w:p>
    <w:p w14:paraId="07C7463B">
      <w:pPr>
        <w:bidi w:val="0"/>
        <w:jc w:val="center"/>
        <w:rPr>
          <w:rFonts w:hint="default" w:ascii="仿宋" w:hAnsi="仿宋" w:eastAsia="仿宋" w:cs="仿宋"/>
          <w:sz w:val="18"/>
          <w:szCs w:val="21"/>
          <w:highlight w:val="none"/>
          <w:lang w:val="en-US"/>
        </w:rPr>
      </w:pPr>
      <w:r>
        <w:rPr>
          <w:rStyle w:val="7"/>
          <w:rFonts w:hint="eastAsia"/>
        </w:rPr>
        <w:br w:type="page"/>
      </w:r>
      <w:bookmarkStart w:id="6" w:name="_Toc4679"/>
      <w:bookmarkStart w:id="7" w:name="_Toc19199"/>
      <w:bookmarkStart w:id="8" w:name="_Toc423973075"/>
      <w:bookmarkStart w:id="9" w:name="_Toc26595"/>
      <w:bookmarkStart w:id="10" w:name="_Toc29888"/>
      <w:bookmarkStart w:id="11" w:name="_Toc31520"/>
      <w:bookmarkStart w:id="12" w:name="_Toc19246"/>
      <w:bookmarkStart w:id="13" w:name="_Toc389582037"/>
      <w:bookmarkStart w:id="14" w:name="_Toc8333"/>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6E18D1A2">
      <w:pPr>
        <w:widowControl w:val="0"/>
        <w:spacing w:after="120"/>
        <w:jc w:val="both"/>
        <w:rPr>
          <w:rFonts w:hint="eastAsia" w:ascii="仿宋" w:hAnsi="仿宋" w:eastAsia="仿宋" w:cs="仿宋"/>
          <w:kern w:val="2"/>
          <w:sz w:val="21"/>
          <w:highlight w:val="none"/>
          <w:lang w:val="en-US" w:eastAsia="zh-CN" w:bidi="ar-SA"/>
        </w:rPr>
      </w:pPr>
    </w:p>
    <w:p w14:paraId="0FA18A9D">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59185DA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3703DE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7713821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16824"/>
      <w:bookmarkStart w:id="16" w:name="_Toc24810"/>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p w14:paraId="532FCDD7">
      <w:pPr>
        <w:keepNext w:val="0"/>
        <w:keepLines w:val="0"/>
        <w:pageBreakBefore w:val="0"/>
        <w:widowControl w:val="0"/>
        <w:tabs>
          <w:tab w:val="left" w:pos="900"/>
        </w:tabs>
        <w:kinsoku/>
        <w:wordWrap/>
        <w:overflowPunct/>
        <w:topLinePunct w:val="0"/>
        <w:autoSpaceDE/>
        <w:autoSpaceDN/>
        <w:bidi w:val="0"/>
        <w:adjustRightInd/>
        <w:spacing w:line="360" w:lineRule="auto"/>
        <w:ind w:firstLine="474" w:firstLineChars="225"/>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1.定义</w:t>
      </w:r>
      <w:bookmarkEnd w:id="15"/>
      <w:bookmarkEnd w:id="16"/>
    </w:p>
    <w:p w14:paraId="6569FAB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本合同中的下列术语应解释为：</w:t>
      </w:r>
    </w:p>
    <w:p w14:paraId="725C4F7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1.1 “合同”系指本合同，包括本合同附带的所有附件、附录和构成合同的其它文件，除非另有特别说明或限定。</w:t>
      </w:r>
    </w:p>
    <w:p w14:paraId="05869C1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1.2 “合同款”系指根据本合同约定，甲方需就乙方提供的服务内容向乙方支付的款项。</w:t>
      </w:r>
    </w:p>
    <w:p w14:paraId="22FCA1D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1.3 “人员”系指作为雇员由乙方雇佣并被分配执行本合同服务内容的人员。</w:t>
      </w:r>
    </w:p>
    <w:p w14:paraId="1BD394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1.4 “服务”系指由乙方根据本合同服务内容要求所实施的工作。</w:t>
      </w:r>
    </w:p>
    <w:p w14:paraId="705F5DA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1.5 “甲方”系指与供应单位签署服务合同的单位（含最终用户），即买方。</w:t>
      </w:r>
    </w:p>
    <w:p w14:paraId="32D2C3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1.6 “乙方”系指根据合同约定提供服务的供应单位，即卖方。</w:t>
      </w:r>
    </w:p>
    <w:p w14:paraId="462108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1.7 “现场”系指合同约定服务内容实施地点。</w:t>
      </w:r>
    </w:p>
    <w:p w14:paraId="0A6B7BA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1.8 “必要的支持”系为保证乙方执行合同项下的服务所必须，甲方免费提供的数据、服务、设备以及便利。</w:t>
      </w:r>
    </w:p>
    <w:p w14:paraId="60992BA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1.9“项目”系指《</w:t>
      </w:r>
      <w:r>
        <w:rPr>
          <w:rFonts w:hint="eastAsia" w:ascii="宋体" w:hAnsi="宋体" w:cs="宋体"/>
          <w:color w:val="000000"/>
          <w:kern w:val="0"/>
          <w:sz w:val="21"/>
          <w:szCs w:val="21"/>
          <w:highlight w:val="none"/>
          <w:u w:val="single"/>
          <w:lang w:val="en-US" w:eastAsia="zh-CN"/>
        </w:rPr>
        <w:t>（项目名称）</w:t>
      </w:r>
      <w:r>
        <w:rPr>
          <w:rFonts w:hint="eastAsia" w:ascii="宋体" w:hAnsi="宋体" w:eastAsia="宋体" w:cs="宋体"/>
          <w:color w:val="000000"/>
          <w:kern w:val="0"/>
          <w:sz w:val="21"/>
          <w:szCs w:val="21"/>
          <w:highlight w:val="none"/>
          <w:lang w:val="en-US" w:eastAsia="zh-CN"/>
        </w:rPr>
        <w:t>》服务项目名称。</w:t>
      </w:r>
    </w:p>
    <w:p w14:paraId="7EC9C5DC">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32760"/>
      <w:bookmarkStart w:id="18" w:name="_Toc2368"/>
      <w:r>
        <w:rPr>
          <w:rFonts w:hint="eastAsia" w:ascii="宋体" w:hAnsi="宋体" w:eastAsia="宋体" w:cs="宋体"/>
          <w:b/>
          <w:color w:val="000000"/>
          <w:kern w:val="0"/>
          <w:sz w:val="21"/>
          <w:szCs w:val="21"/>
          <w:highlight w:val="none"/>
          <w:lang w:val="en-US" w:eastAsia="zh-CN"/>
        </w:rPr>
        <w:t>2.合同组成部分：</w:t>
      </w:r>
      <w:bookmarkEnd w:id="17"/>
      <w:bookmarkEnd w:id="18"/>
    </w:p>
    <w:p w14:paraId="27662F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75BDD6B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43D9D28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3718D4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31DC68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2D527033">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eastAsia="zh-CN"/>
        </w:rPr>
      </w:pPr>
      <w:r>
        <w:rPr>
          <w:rFonts w:hint="eastAsia" w:ascii="宋体" w:hAnsi="宋体" w:eastAsia="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lang w:eastAsia="zh-CN"/>
        </w:rPr>
        <w:t>服务内容</w:t>
      </w:r>
      <w:bookmarkStart w:id="19" w:name="_Toc2258"/>
      <w:bookmarkStart w:id="20" w:name="_Toc14579"/>
    </w:p>
    <w:p w14:paraId="6F51E5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3.1.乙方负责承担本次比赛的训练场地、竞赛保障、赛事策划、商务开发、竞赛组织和器材保障、媒体宣传推广、场地布置、志愿者招募管理、后勤接待保障、各类资料印制、赛事保险、医疗保障配合、安全保卫配合、电力、通信保障。并向使用部门提交赛事总结等与赛事服务运营有关一切事务，方案策划及运营服务需符合体育赛事相应规范要求。</w:t>
      </w:r>
    </w:p>
    <w:p w14:paraId="0826A38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3.2比赛总结：高质量、高水平、高效率的协助完成委托的其他工作事项，确保各项工作顺利推进，协助项目有关的相关文件资料，每项赛事提交赛事总结报告，并及时提交比赛总结报告及相关档案资料，内容齐全。</w:t>
      </w:r>
    </w:p>
    <w:p w14:paraId="1E374D0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3.3本项目供应商不得进行转包、分包给第三方。</w:t>
      </w:r>
    </w:p>
    <w:p w14:paraId="02F8675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3.4在活动的执行过程中，合作双方应遵循甲方确认原则，即所有的设计策划方案、详细报价的预算及结算等，均由乙方提出建议和说明，但最终以甲乙双方确认的内容或方式执行。</w:t>
      </w:r>
    </w:p>
    <w:p w14:paraId="700CD4A2">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lang w:val="en-US" w:eastAsia="zh-CN"/>
        </w:rPr>
        <w:t>4</w:t>
      </w:r>
      <w:r>
        <w:rPr>
          <w:rFonts w:hint="eastAsia" w:ascii="宋体" w:hAnsi="宋体" w:eastAsia="宋体" w:cs="宋体"/>
          <w:b/>
          <w:color w:val="000000"/>
          <w:kern w:val="0"/>
          <w:sz w:val="21"/>
          <w:szCs w:val="21"/>
          <w:highlight w:val="none"/>
        </w:rPr>
        <w:t>. 双方权利和义务</w:t>
      </w:r>
      <w:bookmarkEnd w:id="19"/>
      <w:bookmarkEnd w:id="20"/>
      <w:r>
        <w:rPr>
          <w:rFonts w:hint="eastAsia" w:ascii="宋体" w:hAnsi="宋体" w:eastAsia="宋体" w:cs="宋体"/>
          <w:b/>
          <w:color w:val="000000"/>
          <w:kern w:val="0"/>
          <w:sz w:val="21"/>
          <w:szCs w:val="21"/>
          <w:highlight w:val="none"/>
        </w:rPr>
        <w:tab/>
      </w:r>
    </w:p>
    <w:p w14:paraId="0A26BE3D">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eastAsia="宋体" w:cs="宋体"/>
          <w:color w:val="000000"/>
          <w:kern w:val="0"/>
          <w:sz w:val="21"/>
          <w:szCs w:val="21"/>
          <w:highlight w:val="none"/>
          <w:lang w:val="en-US" w:eastAsia="zh-CN"/>
        </w:rPr>
        <w:t>4</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408C133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4.1.1 甲方有权利对项目活动的相关细节进行监督及了解，决定项目的实施方案。</w:t>
      </w:r>
    </w:p>
    <w:p w14:paraId="1F01D9E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4.1.2 甲方有权利根据临时情况向乙方提出活动修改意见，经双方协商后实施。</w:t>
      </w:r>
    </w:p>
    <w:p w14:paraId="5D20E00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4.1.3甲方非因不可抗力因素如需延期开展项目活动，应提前</w:t>
      </w:r>
      <w:r>
        <w:rPr>
          <w:rFonts w:hint="eastAsia" w:ascii="宋体" w:hAnsi="宋体" w:eastAsia="宋体" w:cs="宋体"/>
          <w:color w:val="000000"/>
          <w:kern w:val="0"/>
          <w:sz w:val="21"/>
          <w:szCs w:val="21"/>
          <w:highlight w:val="none"/>
          <w:u w:val="single"/>
          <w:lang w:val="en-US" w:eastAsia="zh-CN"/>
        </w:rPr>
        <w:t xml:space="preserve"> 5 </w:t>
      </w:r>
      <w:r>
        <w:rPr>
          <w:rFonts w:hint="eastAsia" w:ascii="宋体" w:hAnsi="宋体" w:eastAsia="宋体" w:cs="宋体"/>
          <w:color w:val="000000"/>
          <w:kern w:val="0"/>
          <w:sz w:val="21"/>
          <w:szCs w:val="21"/>
          <w:highlight w:val="none"/>
          <w:lang w:val="en-US" w:eastAsia="zh-CN"/>
        </w:rPr>
        <w:t>个工作日告知乙方，双方协商修改活动安排。</w:t>
      </w:r>
    </w:p>
    <w:p w14:paraId="29CD877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4.1.4甲方应按照合同约定，积极配合乙方开展工作。</w:t>
      </w:r>
    </w:p>
    <w:p w14:paraId="1D62FB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4.1.5甲方应按合同约定履行付款的义务。</w:t>
      </w:r>
    </w:p>
    <w:p w14:paraId="58943F4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4.1.6甲方应按合同约定履行其他的相应义务。</w:t>
      </w:r>
    </w:p>
    <w:p w14:paraId="1B91C9FE">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lang w:val="en-US" w:eastAsia="zh-CN"/>
        </w:rPr>
        <w:t>4</w:t>
      </w:r>
      <w:r>
        <w:rPr>
          <w:rFonts w:hint="eastAsia" w:ascii="宋体" w:hAnsi="宋体" w:eastAsia="宋体" w:cs="宋体"/>
          <w:b/>
          <w:color w:val="000000"/>
          <w:kern w:val="0"/>
          <w:sz w:val="21"/>
          <w:szCs w:val="21"/>
          <w:highlight w:val="none"/>
        </w:rPr>
        <w:t>.2 乙方权利与义务：</w:t>
      </w:r>
    </w:p>
    <w:p w14:paraId="5257524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4.2.1乙方负责全部项目活动的相关策划、组织、实施、调度，保证项目活动的顺利进行。</w:t>
      </w:r>
    </w:p>
    <w:p w14:paraId="7BDBAD1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4.2.2乙方应具备符合组织项目活动的专业资格，并保证选派的工作人员具备相关的专业能力及较高的素质。</w:t>
      </w:r>
    </w:p>
    <w:p w14:paraId="3AE7FD2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4.2.3乙方应制定相应的风险管控和保险方案，对所有参加项目活动的人员进行相应的安全指导和提示，确保活动安全顺利进行，如发生人身、财产等安全责任事故，由乙方依法承担全部责任。</w:t>
      </w:r>
    </w:p>
    <w:p w14:paraId="771CB87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4.2.4乙方应按合同约定履行其他的相应义务。</w:t>
      </w:r>
    </w:p>
    <w:p w14:paraId="369990C7">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1" w:name="_Toc23580"/>
      <w:bookmarkStart w:id="22" w:name="_Toc27234"/>
      <w:r>
        <w:rPr>
          <w:rFonts w:hint="eastAsia" w:ascii="宋体" w:hAnsi="宋体" w:eastAsia="宋体" w:cs="宋体"/>
          <w:b/>
          <w:bCs/>
          <w:color w:val="000000"/>
          <w:kern w:val="0"/>
          <w:sz w:val="21"/>
          <w:szCs w:val="21"/>
          <w:highlight w:val="none"/>
          <w:lang w:val="en-US" w:eastAsia="zh-CN"/>
        </w:rPr>
        <w:t>5</w:t>
      </w:r>
      <w:r>
        <w:rPr>
          <w:rFonts w:hint="eastAsia" w:ascii="宋体" w:hAnsi="宋体" w:eastAsia="宋体" w:cs="宋体"/>
          <w:b/>
          <w:bCs/>
          <w:color w:val="000000"/>
          <w:kern w:val="0"/>
          <w:sz w:val="21"/>
          <w:szCs w:val="21"/>
          <w:highlight w:val="none"/>
        </w:rPr>
        <w:t>.服务费及资金付款进度</w:t>
      </w:r>
      <w:bookmarkEnd w:id="21"/>
      <w:bookmarkEnd w:id="22"/>
    </w:p>
    <w:p w14:paraId="3230156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5.1 本次项目的费用包括但不限于执行该项目所产生的赛事活动组织费用、人员接待费用、媒体费用、广告费用等。</w:t>
      </w:r>
    </w:p>
    <w:p w14:paraId="5DEC9AC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bookmarkStart w:id="23" w:name="_Toc4212"/>
      <w:bookmarkStart w:id="24" w:name="_Toc23438"/>
      <w:r>
        <w:rPr>
          <w:rFonts w:hint="eastAsia" w:ascii="宋体" w:hAnsi="宋体" w:eastAsia="宋体" w:cs="宋体"/>
          <w:color w:val="000000"/>
          <w:kern w:val="0"/>
          <w:sz w:val="21"/>
          <w:szCs w:val="21"/>
          <w:highlight w:val="none"/>
          <w:lang w:val="en-US" w:eastAsia="zh-CN"/>
        </w:rPr>
        <w:t>5.2支付方式</w:t>
      </w:r>
    </w:p>
    <w:p w14:paraId="4FA89D9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5.2.1乙方应严格按照双方最后确定的方案、服务规划流程等执行委托工作、随时接受甲方审核及检验，并为甲方提供便利条件，同时承担由自身原因导致返工、修改的费用。</w:t>
      </w:r>
    </w:p>
    <w:p w14:paraId="185A46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5.2.2支付总价为：￥：</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元；大写</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元；</w:t>
      </w:r>
    </w:p>
    <w:p w14:paraId="2A9D6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5.2.3技术服务费由甲方按进度支付乙方。</w:t>
      </w:r>
    </w:p>
    <w:p w14:paraId="6122778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5.3具体支付方式和时间如下：</w:t>
      </w:r>
    </w:p>
    <w:p w14:paraId="50D93716">
      <w:pPr>
        <w:pStyle w:val="8"/>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lang w:val="en-US" w:eastAsia="zh-CN"/>
        </w:rPr>
        <w:t>采购人付款前，成交供应商应向采购人提供等额有效且符合采购人财务管理要求的增值税发票或者财政监制的非税收入票据，否则采购人有权拒绝付款且不承担违约责任；</w:t>
      </w:r>
    </w:p>
    <w:p w14:paraId="06957846">
      <w:pPr>
        <w:keepNext w:val="0"/>
        <w:keepLines w:val="0"/>
        <w:pageBreakBefore w:val="0"/>
        <w:widowControl w:val="0"/>
        <w:numPr>
          <w:ilvl w:val="0"/>
          <w:numId w:val="0"/>
        </w:numPr>
        <w:kinsoku/>
        <w:wordWrap/>
        <w:overflowPunct/>
        <w:topLinePunct w:val="0"/>
        <w:bidi w:val="0"/>
        <w:snapToGrid w:val="0"/>
        <w:spacing w:line="360" w:lineRule="auto"/>
        <w:ind w:firstLine="420" w:firstLineChars="200"/>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lang w:val="en-US" w:eastAsia="zh-CN"/>
        </w:rPr>
        <w:t>合同签订后，达到付款条件起15日内，支付预付款合同总金额的50%。项目结束，达到付款条件起30日内，按照实际场次据实结算最高支付合同总金额剩余50%。</w:t>
      </w:r>
    </w:p>
    <w:p w14:paraId="7D1AB618">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r>
        <w:rPr>
          <w:rFonts w:hint="eastAsia" w:ascii="宋体" w:hAnsi="宋体" w:cs="宋体"/>
          <w:b/>
          <w:bCs/>
          <w:color w:val="000000"/>
          <w:kern w:val="0"/>
          <w:sz w:val="21"/>
          <w:szCs w:val="21"/>
          <w:highlight w:val="none"/>
          <w:lang w:val="en-US" w:eastAsia="zh-CN"/>
        </w:rPr>
        <w:t>6.验收</w:t>
      </w:r>
    </w:p>
    <w:p w14:paraId="4B1CD2D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37C13CC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验收依据</w:t>
      </w:r>
    </w:p>
    <w:p w14:paraId="17F9083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1本项目竞争性磋商文件、响应文件:</w:t>
      </w:r>
    </w:p>
    <w:p w14:paraId="19311BF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2本合同及附件文本:</w:t>
      </w:r>
    </w:p>
    <w:p w14:paraId="3BD90C8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462598D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7</w:t>
      </w:r>
      <w:r>
        <w:rPr>
          <w:rFonts w:hint="eastAsia" w:ascii="宋体" w:hAnsi="宋体" w:eastAsia="宋体" w:cs="宋体"/>
          <w:b/>
          <w:bCs/>
          <w:color w:val="000000"/>
          <w:kern w:val="0"/>
          <w:sz w:val="21"/>
          <w:szCs w:val="21"/>
          <w:highlight w:val="none"/>
        </w:rPr>
        <w:t>.合同终止和违约责任</w:t>
      </w:r>
      <w:bookmarkEnd w:id="23"/>
      <w:bookmarkEnd w:id="24"/>
      <w:bookmarkStart w:id="35" w:name="_GoBack"/>
      <w:bookmarkEnd w:id="35"/>
    </w:p>
    <w:p w14:paraId="024C1CC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D72C4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429AEB6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66DA059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6.4条的约定要求其承担违约责任，违约金不足以弥补损失的还应继续赔偿由此造成的损失。</w:t>
      </w:r>
    </w:p>
    <w:p w14:paraId="166895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044A6E5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7A587FA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4B5C5D5E">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27960"/>
      <w:bookmarkStart w:id="26" w:name="_Toc29778"/>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.不可抗力</w:t>
      </w:r>
      <w:bookmarkEnd w:id="25"/>
      <w:bookmarkEnd w:id="26"/>
    </w:p>
    <w:p w14:paraId="5DB6330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49CC55D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4D4AC3C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424613B0">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7" w:name="_Toc12058"/>
      <w:bookmarkStart w:id="28" w:name="_Toc7221"/>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lang w:val="zh-CN"/>
        </w:rPr>
        <w:t>.知识产权、保密</w:t>
      </w:r>
      <w:bookmarkEnd w:id="27"/>
      <w:bookmarkEnd w:id="28"/>
    </w:p>
    <w:p w14:paraId="2079497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06D4C0B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.2 甲方享有本合同项下组织、宣传、设计方案、等全部事项内容完整的知识产权，未经甲方书面确认，乙方不得转让、许可或以其他方式提供给任何第三方使用；否则，甲方有权解除合同并依法追究乙方违约责任。</w:t>
      </w:r>
    </w:p>
    <w:p w14:paraId="39444BE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19CFE94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543358E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.4.1依法律法规的规定；</w:t>
      </w:r>
    </w:p>
    <w:p w14:paraId="638EA0E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1E288EC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7D698B2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.4.4 非因乙方过错，而使信息已经公开；</w:t>
      </w:r>
    </w:p>
    <w:p w14:paraId="3953FE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.4.5合同双方事先达成书面认可；</w:t>
      </w:r>
    </w:p>
    <w:p w14:paraId="23B841B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38610091">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26449"/>
      <w:bookmarkStart w:id="30" w:name="_Toc20922"/>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rPr>
        <w:t>.争议解决</w:t>
      </w:r>
      <w:bookmarkEnd w:id="29"/>
      <w:bookmarkEnd w:id="30"/>
    </w:p>
    <w:p w14:paraId="09516EA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w:t>
      </w:r>
      <w:r>
        <w:rPr>
          <w:rFonts w:hint="eastAsia" w:ascii="宋体" w:hAnsi="宋体" w:eastAsia="宋体" w:cs="宋体"/>
          <w:color w:val="000000"/>
          <w:kern w:val="0"/>
          <w:sz w:val="21"/>
          <w:szCs w:val="21"/>
          <w:highlight w:val="none"/>
          <w:u w:val="single"/>
          <w:lang w:val="en-US" w:eastAsia="zh-CN"/>
        </w:rPr>
        <w:t>西安</w:t>
      </w:r>
      <w:r>
        <w:rPr>
          <w:rFonts w:hint="eastAsia" w:ascii="宋体" w:hAnsi="宋体" w:eastAsia="宋体" w:cs="宋体"/>
          <w:color w:val="000000"/>
          <w:kern w:val="0"/>
          <w:sz w:val="21"/>
          <w:szCs w:val="21"/>
          <w:highlight w:val="none"/>
          <w:lang w:val="en-US" w:eastAsia="zh-CN"/>
        </w:rPr>
        <w:t>仲裁委员会，依据委员会实施的仲裁规则进行仲裁。该仲裁裁决是终局性的并对双方具有约束力。违约方承担守约方的全部维权费用，包括但不限于保全担保费、公证费、公告费、审计费、鉴定费、律师费等。</w:t>
      </w:r>
    </w:p>
    <w:p w14:paraId="35A76957">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658"/>
      <w:bookmarkStart w:id="32" w:name="_Toc17905"/>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1</w:t>
      </w:r>
      <w:r>
        <w:rPr>
          <w:rFonts w:hint="eastAsia" w:ascii="宋体" w:hAnsi="宋体" w:eastAsia="宋体" w:cs="宋体"/>
          <w:b/>
          <w:color w:val="000000"/>
          <w:kern w:val="0"/>
          <w:sz w:val="21"/>
          <w:szCs w:val="21"/>
          <w:highlight w:val="none"/>
        </w:rPr>
        <w:t>.通知</w:t>
      </w:r>
      <w:bookmarkEnd w:id="31"/>
      <w:bookmarkEnd w:id="32"/>
    </w:p>
    <w:p w14:paraId="07DA4C5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1</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7C05591F">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3" w:name="_Toc29310"/>
      <w:bookmarkStart w:id="34" w:name="_Toc20904"/>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.合同生效及其它</w:t>
      </w:r>
      <w:bookmarkEnd w:id="33"/>
      <w:bookmarkEnd w:id="34"/>
    </w:p>
    <w:p w14:paraId="52C5C6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7D54A29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FEEF80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5"/>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6631034E">
        <w:tblPrEx>
          <w:tblCellMar>
            <w:top w:w="0" w:type="dxa"/>
            <w:left w:w="108" w:type="dxa"/>
            <w:bottom w:w="0" w:type="dxa"/>
            <w:right w:w="108" w:type="dxa"/>
          </w:tblCellMar>
        </w:tblPrEx>
        <w:trPr>
          <w:trHeight w:val="968" w:hRule="atLeast"/>
        </w:trPr>
        <w:tc>
          <w:tcPr>
            <w:tcW w:w="4812" w:type="dxa"/>
            <w:noWrap w:val="0"/>
            <w:vAlign w:val="top"/>
          </w:tcPr>
          <w:p w14:paraId="58FBAA9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58A3A707">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2E63FBAD">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4BE35F7">
        <w:tblPrEx>
          <w:tblCellMar>
            <w:top w:w="0" w:type="dxa"/>
            <w:left w:w="108" w:type="dxa"/>
            <w:bottom w:w="0" w:type="dxa"/>
            <w:right w:w="108" w:type="dxa"/>
          </w:tblCellMar>
        </w:tblPrEx>
        <w:trPr>
          <w:trHeight w:val="729" w:hRule="atLeast"/>
        </w:trPr>
        <w:tc>
          <w:tcPr>
            <w:tcW w:w="4812" w:type="dxa"/>
            <w:noWrap w:val="0"/>
            <w:vAlign w:val="top"/>
          </w:tcPr>
          <w:p w14:paraId="56EE2C0C">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5EB2F6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360FCCE4">
        <w:tblPrEx>
          <w:tblCellMar>
            <w:top w:w="0" w:type="dxa"/>
            <w:left w:w="108" w:type="dxa"/>
            <w:bottom w:w="0" w:type="dxa"/>
            <w:right w:w="108" w:type="dxa"/>
          </w:tblCellMar>
        </w:tblPrEx>
        <w:trPr>
          <w:trHeight w:val="729" w:hRule="atLeast"/>
        </w:trPr>
        <w:tc>
          <w:tcPr>
            <w:tcW w:w="4812" w:type="dxa"/>
            <w:noWrap w:val="0"/>
            <w:vAlign w:val="top"/>
          </w:tcPr>
          <w:p w14:paraId="4869097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31EDF25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0D2EFAB">
        <w:tblPrEx>
          <w:tblCellMar>
            <w:top w:w="0" w:type="dxa"/>
            <w:left w:w="108" w:type="dxa"/>
            <w:bottom w:w="0" w:type="dxa"/>
            <w:right w:w="108" w:type="dxa"/>
          </w:tblCellMar>
        </w:tblPrEx>
        <w:trPr>
          <w:trHeight w:val="836" w:hRule="atLeast"/>
        </w:trPr>
        <w:tc>
          <w:tcPr>
            <w:tcW w:w="4812" w:type="dxa"/>
            <w:noWrap w:val="0"/>
            <w:vAlign w:val="top"/>
          </w:tcPr>
          <w:p w14:paraId="1BBC5690">
            <w:pPr>
              <w:bidi w:val="0"/>
              <w:spacing w:line="360" w:lineRule="auto"/>
              <w:rPr>
                <w:rFonts w:hint="eastAsia" w:ascii="宋体" w:hAnsi="宋体" w:eastAsia="宋体" w:cs="宋体"/>
                <w:color w:val="000000"/>
                <w:kern w:val="0"/>
                <w:sz w:val="21"/>
                <w:szCs w:val="21"/>
                <w:highlight w:val="none"/>
              </w:rPr>
            </w:pPr>
          </w:p>
          <w:p w14:paraId="09A4F77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3B3743BF">
            <w:pPr>
              <w:bidi w:val="0"/>
              <w:spacing w:line="360" w:lineRule="auto"/>
              <w:rPr>
                <w:rFonts w:hint="eastAsia" w:ascii="宋体" w:hAnsi="宋体" w:eastAsia="宋体" w:cs="宋体"/>
                <w:color w:val="000000"/>
                <w:kern w:val="0"/>
                <w:sz w:val="21"/>
                <w:szCs w:val="21"/>
                <w:highlight w:val="none"/>
              </w:rPr>
            </w:pPr>
          </w:p>
          <w:p w14:paraId="121A211C">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5C8CE771">
        <w:tblPrEx>
          <w:tblCellMar>
            <w:top w:w="0" w:type="dxa"/>
            <w:left w:w="108" w:type="dxa"/>
            <w:bottom w:w="0" w:type="dxa"/>
            <w:right w:w="108" w:type="dxa"/>
          </w:tblCellMar>
        </w:tblPrEx>
        <w:trPr>
          <w:trHeight w:val="637" w:hRule="atLeast"/>
        </w:trPr>
        <w:tc>
          <w:tcPr>
            <w:tcW w:w="4812" w:type="dxa"/>
            <w:noWrap w:val="0"/>
            <w:vAlign w:val="top"/>
          </w:tcPr>
          <w:p w14:paraId="26B2D4D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17423D23">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1F4FBF89">
        <w:tblPrEx>
          <w:tblCellMar>
            <w:top w:w="0" w:type="dxa"/>
            <w:left w:w="108" w:type="dxa"/>
            <w:bottom w:w="0" w:type="dxa"/>
            <w:right w:w="108" w:type="dxa"/>
          </w:tblCellMar>
        </w:tblPrEx>
        <w:trPr>
          <w:trHeight w:val="614" w:hRule="atLeast"/>
        </w:trPr>
        <w:tc>
          <w:tcPr>
            <w:tcW w:w="4812" w:type="dxa"/>
            <w:noWrap w:val="0"/>
            <w:vAlign w:val="top"/>
          </w:tcPr>
          <w:p w14:paraId="4A8AAC9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6D9DD86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752AD844">
        <w:tblPrEx>
          <w:tblCellMar>
            <w:top w:w="0" w:type="dxa"/>
            <w:left w:w="108" w:type="dxa"/>
            <w:bottom w:w="0" w:type="dxa"/>
            <w:right w:w="108" w:type="dxa"/>
          </w:tblCellMar>
        </w:tblPrEx>
        <w:trPr>
          <w:trHeight w:val="694" w:hRule="atLeast"/>
        </w:trPr>
        <w:tc>
          <w:tcPr>
            <w:tcW w:w="4812" w:type="dxa"/>
            <w:noWrap w:val="0"/>
            <w:vAlign w:val="top"/>
          </w:tcPr>
          <w:p w14:paraId="4695F2A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1ACF0CC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18359C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DFiYzU4ZDBjMjE1N2Y0MjM3ZGFkODE0ZDhiMWIifQ=="/>
  </w:docVars>
  <w:rsids>
    <w:rsidRoot w:val="00000000"/>
    <w:rsid w:val="50C11B33"/>
    <w:rsid w:val="56C8369C"/>
    <w:rsid w:val="5975492C"/>
    <w:rsid w:val="62B52BCA"/>
    <w:rsid w:val="734603C0"/>
    <w:rsid w:val="73483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7"/>
    <w:qFormat/>
    <w:uiPriority w:val="0"/>
    <w:pPr>
      <w:keepNext/>
      <w:jc w:val="center"/>
      <w:outlineLvl w:val="0"/>
    </w:pPr>
    <w:rPr>
      <w:kern w:val="0"/>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4">
    <w:name w:val="Normal Indent"/>
    <w:basedOn w:val="1"/>
    <w:next w:val="1"/>
    <w:qFormat/>
    <w:uiPriority w:val="0"/>
    <w:pPr>
      <w:widowControl/>
      <w:ind w:firstLine="420"/>
      <w:jc w:val="left"/>
    </w:pPr>
    <w:rPr>
      <w:kern w:val="0"/>
      <w:sz w:val="20"/>
    </w:rPr>
  </w:style>
  <w:style w:type="character" w:customStyle="1" w:styleId="7">
    <w:name w:val="标题 1 Char"/>
    <w:link w:val="3"/>
    <w:qFormat/>
    <w:uiPriority w:val="0"/>
    <w:rPr>
      <w:kern w:val="0"/>
      <w:sz w:val="2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3586</Words>
  <Characters>3785</Characters>
  <Lines>0</Lines>
  <Paragraphs>0</Paragraphs>
  <TotalTime>0</TotalTime>
  <ScaleCrop>false</ScaleCrop>
  <LinksUpToDate>false</LinksUpToDate>
  <CharactersWithSpaces>3959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五辰</cp:lastModifiedBy>
  <dcterms:modified xsi:type="dcterms:W3CDTF">2025-05-23T09:34:19Z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AE494F9C08FE43BE8284A6E5DA7935F1_12</vt:lpwstr>
  </property>
  <property fmtid="{D5CDD505-2E9C-101B-9397-08002B2CF9AE}" pid="4" name="KSOTemplateDocerSaveRecord">
    <vt:lpwstr>eyJoZGlkIjoiMzdlZWU1NTA2MjgxZTc2YWZkOWIyYzc5ZTIyZTNiZDMiLCJ1c2VySWQiOiIzMDQ1NjQ2MjcifQ==</vt:lpwstr>
  </property>
</Properties>
</file>