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版本号：KY2025-3-04820250526001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2025年实验室试剂耗材购置项目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KY2025-3-048</w:t>
      </w:r>
      <w:r>
        <w:br/>
      </w:r>
      <w:r>
        <w:br/>
      </w:r>
      <w:r>
        <w:br/>
      </w:r>
    </w:p>
    <w:p>
      <w:pPr>
        <w:pStyle w:val="null3"/>
        <w:jc w:val="center"/>
        <w:outlineLvl w:val="2"/>
      </w:pPr>
      <w:r>
        <w:rPr>
          <w:rFonts w:ascii="仿宋_GB2312" w:hAnsi="仿宋_GB2312" w:cs="仿宋_GB2312" w:eastAsia="仿宋_GB2312"/>
          <w:sz w:val="28"/>
          <w:b/>
        </w:rPr>
        <w:t>西安市粮油质量检验中心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西安市粮油质量检验中心</w:t>
      </w:r>
      <w:r>
        <w:rPr>
          <w:rFonts w:ascii="仿宋_GB2312" w:hAnsi="仿宋_GB2312" w:cs="仿宋_GB2312" w:eastAsia="仿宋_GB2312"/>
        </w:rPr>
        <w:t>委托，拟对</w:t>
      </w:r>
      <w:r>
        <w:rPr>
          <w:rFonts w:ascii="仿宋_GB2312" w:hAnsi="仿宋_GB2312" w:cs="仿宋_GB2312" w:eastAsia="仿宋_GB2312"/>
        </w:rPr>
        <w:t>2025年实验室试剂耗材购置项目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2025年实验室试剂耗材购置项目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西安市粮油质量检验中心2025年实验室试剂耗材购置项目，分为两个标段，其中1标段：通用试剂耗材，2标段：大型仪器耗材及标准物质。简要技术要求、用途：详见公开招标文件第三章。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 ：提供2024年1月至今任意一个月的依法缴纳税收的相关凭据（时间以税款所属日期为准），凭据应有税务机关或代收机关的公章或业务专用章。依法免税或无须缴纳税收的投标人，应提供相应证明文件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 ：提供直接控股和管理关系清单。若与其他投标人存在单位负责人为同一人或者存在直接控股、管理关系的，则投标无效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 ：提供具有履行合同所必需的设备和专业技术能力的承诺函</w:t>
      </w:r>
    </w:p>
    <w:p>
      <w:pPr>
        <w:pStyle w:val="null3"/>
      </w:pPr>
      <w:r>
        <w:rPr>
          <w:rFonts w:ascii="仿宋_GB2312" w:hAnsi="仿宋_GB2312" w:cs="仿宋_GB2312" w:eastAsia="仿宋_GB2312"/>
        </w:rPr>
        <w:t>8、法定代表人授权书 ：法定代表人授权书及被授权人身份证复印件。（法定代表人直接投标只须提交法定代表人身份证明书）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 ：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西安市粮油质量检验中心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陕西省西安市莲湖区西北一路3号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029-87349026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采购包1：194,150.00元</w:t>
            </w:r>
          </w:p>
          <w:p>
            <w:pPr>
              <w:pStyle w:val="null3"/>
            </w:pPr>
            <w:r>
              <w:rPr>
                <w:rFonts w:ascii="仿宋_GB2312" w:hAnsi="仿宋_GB2312" w:cs="仿宋_GB2312" w:eastAsia="仿宋_GB2312"/>
              </w:rPr>
              <w:t>采购包2：185,850.00元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收取，不足3000元/包按定额3000元/包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西安市粮油质量检验中心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西安市粮油质量检验中心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西安市粮油质量检验中心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西安市粮油质量检验中心2025年实验室试剂耗材购置项目，分为两个标段，其中1标段：通用试剂耗材，2标段：大型仪器耗材及标准物质。简要技术要求、用途：详见公开招标文件。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194,150.00</w:t>
      </w:r>
    </w:p>
    <w:p>
      <w:pPr>
        <w:pStyle w:val="null3"/>
      </w:pPr>
      <w:r>
        <w:rPr>
          <w:rFonts w:ascii="仿宋_GB2312" w:hAnsi="仿宋_GB2312" w:cs="仿宋_GB2312" w:eastAsia="仿宋_GB2312"/>
        </w:rPr>
        <w:t>采购包最高限价（元）: 194,150.00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通用试剂耗材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185,850.00</w:t>
      </w:r>
    </w:p>
    <w:p>
      <w:pPr>
        <w:pStyle w:val="null3"/>
      </w:pPr>
      <w:r>
        <w:rPr>
          <w:rFonts w:ascii="仿宋_GB2312" w:hAnsi="仿宋_GB2312" w:cs="仿宋_GB2312" w:eastAsia="仿宋_GB2312"/>
        </w:rPr>
        <w:t>采购包最高限价（元）: 185,850.00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大型仪器耗材及标准物质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185,850.00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标的名称：通用试剂耗材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5"/>
              <w:gridCol w:w="359"/>
              <w:gridCol w:w="451"/>
              <w:gridCol w:w="223"/>
              <w:gridCol w:w="130"/>
              <w:gridCol w:w="283"/>
              <w:gridCol w:w="283"/>
              <w:gridCol w:w="321"/>
              <w:gridCol w:w="310"/>
            </w:tblGrid>
            <w:tr>
              <w:tc>
                <w:tcPr>
                  <w:tcW w:type="dxa" w:w="1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35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名称</w:t>
                  </w:r>
                </w:p>
              </w:tc>
              <w:tc>
                <w:tcPr>
                  <w:tcW w:type="dxa" w:w="45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规格</w:t>
                  </w:r>
                </w:p>
              </w:tc>
              <w:tc>
                <w:tcPr>
                  <w:tcW w:type="dxa" w:w="22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预采购</w:t>
                  </w:r>
                </w:p>
                <w:p>
                  <w:pPr>
                    <w:pStyle w:val="null3"/>
                    <w:jc w:val="center"/>
                  </w:pPr>
                  <w:r>
                    <w:rPr>
                      <w:rFonts w:ascii="仿宋_GB2312" w:hAnsi="仿宋_GB2312" w:cs="仿宋_GB2312" w:eastAsia="仿宋_GB2312"/>
                      <w:sz w:val="18"/>
                      <w:b/>
                      <w:color w:val="000000"/>
                    </w:rPr>
                    <w:t>数量</w:t>
                  </w:r>
                </w:p>
              </w:tc>
              <w:tc>
                <w:tcPr>
                  <w:tcW w:type="dxa" w:w="13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精度/等级/材质/需求</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类别</w:t>
                  </w:r>
                </w:p>
              </w:tc>
              <w:tc>
                <w:tcPr>
                  <w:tcW w:type="dxa" w:w="32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备注</w:t>
                  </w:r>
                </w:p>
              </w:tc>
              <w:tc>
                <w:tcPr>
                  <w:tcW w:type="dxa" w:w="31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单价</w:t>
                  </w:r>
                </w:p>
                <w:p>
                  <w:pPr>
                    <w:pStyle w:val="null3"/>
                    <w:jc w:val="center"/>
                  </w:pPr>
                  <w:r>
                    <w:rPr>
                      <w:rFonts w:ascii="仿宋_GB2312" w:hAnsi="仿宋_GB2312" w:cs="仿宋_GB2312" w:eastAsia="仿宋_GB2312"/>
                      <w:sz w:val="18"/>
                      <w:b/>
                      <w:color w:val="000000"/>
                    </w:rPr>
                    <w:t>限价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黄曲霉毒素免疫亲和柱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w:t>
                  </w:r>
                  <w:r>
                    <w:rPr>
                      <w:rFonts w:ascii="仿宋_GB2312" w:hAnsi="仿宋_GB2312" w:cs="仿宋_GB2312" w:eastAsia="仿宋_GB2312"/>
                      <w:sz w:val="18"/>
                      <w:color w:val="0D0D0D"/>
                    </w:rPr>
                    <w:t>根/盒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1643.00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呕吐毒素免疫亲和柱</w:t>
                  </w:r>
                  <w:r>
                    <w:rPr>
                      <w:rFonts w:ascii="仿宋_GB2312" w:hAnsi="仿宋_GB2312" w:cs="仿宋_GB2312" w:eastAsia="仿宋_GB2312"/>
                      <w:sz w:val="18"/>
                      <w:b/>
                      <w:color w:val="0D0D0D"/>
                    </w:rPr>
                    <w:t>（</w:t>
                  </w:r>
                  <w:r>
                    <w:rPr>
                      <w:rFonts w:ascii="仿宋_GB2312" w:hAnsi="仿宋_GB2312" w:cs="仿宋_GB2312" w:eastAsia="仿宋_GB2312"/>
                      <w:sz w:val="18"/>
                      <w:b/>
                      <w:color w:val="0D0D0D"/>
                    </w:rPr>
                    <w:t>核心产品</w:t>
                  </w:r>
                  <w:r>
                    <w:rPr>
                      <w:rFonts w:ascii="仿宋_GB2312" w:hAnsi="仿宋_GB2312" w:cs="仿宋_GB2312" w:eastAsia="仿宋_GB2312"/>
                      <w:sz w:val="18"/>
                      <w:b/>
                      <w:color w:val="0D0D0D"/>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w:t>
                  </w:r>
                  <w:r>
                    <w:rPr>
                      <w:rFonts w:ascii="仿宋_GB2312" w:hAnsi="仿宋_GB2312" w:cs="仿宋_GB2312" w:eastAsia="仿宋_GB2312"/>
                      <w:sz w:val="18"/>
                      <w:color w:val="0D0D0D"/>
                    </w:rPr>
                    <w:t>根/盒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1780.00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玉米赤霉烯酮免疫亲和柱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w:t>
                  </w:r>
                  <w:r>
                    <w:rPr>
                      <w:rFonts w:ascii="仿宋_GB2312" w:hAnsi="仿宋_GB2312" w:cs="仿宋_GB2312" w:eastAsia="仿宋_GB2312"/>
                      <w:sz w:val="18"/>
                      <w:color w:val="0D0D0D"/>
                    </w:rPr>
                    <w:t>根/盒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1780.00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赭曲霉毒素免疫亲和柱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w:t>
                  </w:r>
                  <w:r>
                    <w:rPr>
                      <w:rFonts w:ascii="仿宋_GB2312" w:hAnsi="仿宋_GB2312" w:cs="仿宋_GB2312" w:eastAsia="仿宋_GB2312"/>
                      <w:sz w:val="18"/>
                      <w:color w:val="0D0D0D"/>
                    </w:rPr>
                    <w:t>根/盒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1712.00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离心管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50mL/</w:t>
                  </w:r>
                  <w:r>
                    <w:rPr>
                      <w:rFonts w:ascii="仿宋_GB2312" w:hAnsi="仿宋_GB2312" w:cs="仿宋_GB2312" w:eastAsia="仿宋_GB2312"/>
                      <w:sz w:val="18"/>
                      <w:color w:val="0D0D0D"/>
                    </w:rPr>
                    <w:t>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塑料材质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用于本立科技自动样品前处理系统</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进样器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无菌</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0.55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氯化钠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C18SPE</w:t>
                  </w:r>
                  <w:r>
                    <w:rPr>
                      <w:rFonts w:ascii="仿宋_GB2312" w:hAnsi="仿宋_GB2312" w:cs="仿宋_GB2312" w:eastAsia="仿宋_GB2312"/>
                      <w:sz w:val="18"/>
                      <w:color w:val="0D0D0D"/>
                    </w:rPr>
                    <w:t>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2gm</w:t>
                  </w:r>
                  <w:r>
                    <w:rPr>
                      <w:rFonts w:ascii="仿宋_GB2312" w:hAnsi="仿宋_GB2312" w:cs="仿宋_GB2312" w:eastAsia="仿宋_GB2312"/>
                      <w:sz w:val="18"/>
                      <w:color w:val="0D0D0D"/>
                    </w:rPr>
                    <w:t>，12mL，20个/盒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农药残留前处理用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547.00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苯并芘前处理柱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500mg/6mL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苯并芘分子印迹柱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534.00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弗罗里硅土SPE柱</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500mg</w:t>
                  </w:r>
                  <w:r>
                    <w:rPr>
                      <w:rFonts w:ascii="仿宋_GB2312" w:hAnsi="仿宋_GB2312" w:cs="仿宋_GB2312" w:eastAsia="仿宋_GB2312"/>
                      <w:sz w:val="18"/>
                      <w:color w:val="0D0D0D"/>
                    </w:rPr>
                    <w:t>，3mL,50个/盒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农药残留前处理用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酚酞</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甲基红</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38.00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亚甲基蓝</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伊红Y</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47.00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百里香酚兰</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109.00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碱性蓝6B</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190.00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铬天青S</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溴酚蓝</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79.00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聚乙二醇辛基苯醚</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145.00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溴代十六烷基吡啶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130.00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索氏抽提器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玻璃材质，带250mL抽提瓶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脂肪测定用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硼酸钠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无水亚硫酸钠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无水磷酸二氢钾</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29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氯化亚锡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189.00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焦性没食子酸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五水硫酸铜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18.20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20.80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20.80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39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30.60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30.60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13.50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19.50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49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349.00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微量滴定管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最小刻度0.02mL/0.05mL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稻谷脂肪酸值滴定用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402.00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快速定量滤纸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直径12.5cm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中性定量滤纸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直径12.5cm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滴定过滤用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玻璃滤纸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直径110mm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真菌毒素前处理用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1670.00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百里香酚酞指示剂</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38.00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碱性蓝6B指示剂</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190.00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59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85.00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滴定管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细沙分离漏斗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玻璃或石英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含砂量测定用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890.00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茜素氨羧络合剂</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亚铁氰化钾等</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乙酸镁</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69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甘汞电极</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雷磁</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107.00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氯离子电极</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雷磁</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350.00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27.00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280.00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79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硫酸联氨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坩埚式过滤器（油不溶性杂质用）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密度瓶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玻璃棉</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1050.00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石英沙</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柠檬酸铁铵</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特丁醇铝</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福林酚（Folin-Ciocalteu）试剂</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α-淀粉酶,来源于猪胰腺,40-60u/mg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89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氨基-1丙醇</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460.00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氯胺T(有效氯含量在11%以上）</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150.00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试银灵（对二甲氨基亚卞基罗丹宁）</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异烟酸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分析纯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吡唑酮</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优级纯</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过滤膜（有机）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50mm</w:t>
                  </w:r>
                  <w:r>
                    <w:rPr>
                      <w:rFonts w:ascii="仿宋_GB2312" w:hAnsi="仿宋_GB2312" w:cs="仿宋_GB2312" w:eastAsia="仿宋_GB2312"/>
                      <w:sz w:val="18"/>
                      <w:color w:val="000000"/>
                    </w:rPr>
                    <w:t>，0.22μm，100/pkg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液相流动相制备用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过滤膜（无机）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50mm</w:t>
                  </w:r>
                  <w:r>
                    <w:rPr>
                      <w:rFonts w:ascii="仿宋_GB2312" w:hAnsi="仿宋_GB2312" w:cs="仿宋_GB2312" w:eastAsia="仿宋_GB2312"/>
                      <w:sz w:val="18"/>
                      <w:color w:val="000000"/>
                    </w:rPr>
                    <w:t>，0.22μm，100/pkg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液相流动相制备用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过滤膜（有机）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50mm</w:t>
                  </w:r>
                  <w:r>
                    <w:rPr>
                      <w:rFonts w:ascii="仿宋_GB2312" w:hAnsi="仿宋_GB2312" w:cs="仿宋_GB2312" w:eastAsia="仿宋_GB2312"/>
                      <w:sz w:val="18"/>
                      <w:color w:val="000000"/>
                    </w:rPr>
                    <w:t>，0.45μm，100/pkg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液相流动相制备用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99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过滤膜（无机）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50mm</w:t>
                  </w:r>
                  <w:r>
                    <w:rPr>
                      <w:rFonts w:ascii="仿宋_GB2312" w:hAnsi="仿宋_GB2312" w:cs="仿宋_GB2312" w:eastAsia="仿宋_GB2312"/>
                      <w:sz w:val="18"/>
                      <w:color w:val="000000"/>
                    </w:rPr>
                    <w:t>，0.45μm，100/pkg</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液相流动相制备用</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封口膜</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10.2cm</w:t>
                  </w:r>
                  <w:r>
                    <w:rPr>
                      <w:rFonts w:ascii="仿宋_GB2312" w:hAnsi="仿宋_GB2312" w:cs="仿宋_GB2312" w:eastAsia="仿宋_GB2312"/>
                      <w:sz w:val="18"/>
                      <w:color w:val="000000"/>
                    </w:rPr>
                    <w:t>×38.1m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178.00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w:t>
                  </w:r>
                  <w:r>
                    <w:rPr>
                      <w:rFonts w:ascii="仿宋_GB2312" w:hAnsi="仿宋_GB2312" w:cs="仿宋_GB2312" w:eastAsia="仿宋_GB2312"/>
                      <w:sz w:val="18"/>
                      <w:color w:val="000000"/>
                    </w:rPr>
                    <w:t>×280mm，100pcs</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塑料材质</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进样器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0.50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进样器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0.73</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160mm</w:t>
                  </w:r>
                  <w:r>
                    <w:rPr>
                      <w:rFonts w:ascii="仿宋_GB2312" w:hAnsi="仿宋_GB2312" w:cs="仿宋_GB2312" w:eastAsia="仿宋_GB2312"/>
                      <w:sz w:val="18"/>
                      <w:color w:val="000000"/>
                    </w:rPr>
                    <w:t>×240mm，100pcs</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18.00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r>
                    <w:rPr>
                      <w:rFonts w:ascii="仿宋_GB2312" w:hAnsi="仿宋_GB2312" w:cs="仿宋_GB2312" w:eastAsia="仿宋_GB2312"/>
                      <w:sz w:val="18"/>
                      <w:color w:val="000000"/>
                    </w:rPr>
                    <w:t>×100mm，100pcs</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坩埚式过滤器</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P16</w:t>
                  </w:r>
                  <w:r>
                    <w:rPr>
                      <w:rFonts w:ascii="仿宋_GB2312" w:hAnsi="仿宋_GB2312" w:cs="仿宋_GB2312" w:eastAsia="仿宋_GB2312"/>
                      <w:sz w:val="18"/>
                      <w:color w:val="000000"/>
                    </w:rPr>
                    <w:t>级，直径40mm,容积50mL，10个/盒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实验试剂耗材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带一个抽气瓶，带配套开口橡胶塞</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防护手套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蓝色丁晴手套，L(医用级+食品级)，100个/盒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一次性丁腈手套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安全防护用品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防护手套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蓝色丁晴手套，M(医用级+食品级)，100个/盒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一次性丁腈手套</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安全防护用品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D0D0D"/>
                    </w:rPr>
                    <w:t>109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口罩</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层活性炭，100只单片独立包装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安全防护用品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55.00</w:t>
                  </w:r>
                </w:p>
              </w:tc>
            </w:tr>
            <w:tr>
              <w:tc>
                <w:tcPr>
                  <w:tcW w:type="dxa" w:w="2555"/>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FF0000"/>
                    </w:rPr>
                    <w:t>备注：</w:t>
                  </w:r>
                  <w:r>
                    <w:rPr>
                      <w:rFonts w:ascii="仿宋_GB2312" w:hAnsi="仿宋_GB2312" w:cs="仿宋_GB2312" w:eastAsia="仿宋_GB2312"/>
                      <w:sz w:val="24"/>
                      <w:b/>
                      <w:color w:val="FF0000"/>
                    </w:rPr>
                    <w:t>合同结算价以中标时各类试剂、耗材所报的单价为准，结算金额按采购人实际采购量进行计算。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标的名称：大型仪器耗材及标准物质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1"/>
              <w:gridCol w:w="490"/>
              <w:gridCol w:w="378"/>
              <w:gridCol w:w="127"/>
              <w:gridCol w:w="132"/>
              <w:gridCol w:w="279"/>
              <w:gridCol w:w="265"/>
              <w:gridCol w:w="382"/>
              <w:gridCol w:w="324"/>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名称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规格</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预采购</w:t>
                  </w:r>
                </w:p>
                <w:p>
                  <w:pPr>
                    <w:pStyle w:val="null3"/>
                    <w:jc w:val="center"/>
                  </w:pPr>
                  <w:r>
                    <w:rPr>
                      <w:rFonts w:ascii="仿宋_GB2312" w:hAnsi="仿宋_GB2312" w:cs="仿宋_GB2312" w:eastAsia="仿宋_GB2312"/>
                      <w:sz w:val="18"/>
                      <w:b/>
                      <w:color w:val="000000"/>
                    </w:rPr>
                    <w:t>数量</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精度/等级/材质/需求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类别</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备注</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单价限价</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r>
                    <w:rPr>
                      <w:rFonts w:ascii="仿宋_GB2312" w:hAnsi="仿宋_GB2312" w:cs="仿宋_GB2312" w:eastAsia="仿宋_GB2312"/>
                      <w:sz w:val="18"/>
                      <w:color w:val="000000"/>
                    </w:rPr>
                    <w:t>乙酰脱氧雪腐镰刀菌烯醇标液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13C15-</w:t>
                  </w:r>
                  <w:r>
                    <w:rPr>
                      <w:rFonts w:ascii="仿宋_GB2312" w:hAnsi="仿宋_GB2312" w:cs="仿宋_GB2312" w:eastAsia="仿宋_GB2312"/>
                      <w:sz w:val="18"/>
                      <w:color w:val="000000"/>
                    </w:rPr>
                    <w:t>脱氧雪腐镰刀菌烯醇同位素标准溶液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13C17-3-</w:t>
                  </w:r>
                  <w:r>
                    <w:rPr>
                      <w:rFonts w:ascii="仿宋_GB2312" w:hAnsi="仿宋_GB2312" w:cs="仿宋_GB2312" w:eastAsia="仿宋_GB2312"/>
                      <w:sz w:val="18"/>
                      <w:color w:val="000000"/>
                    </w:rPr>
                    <w:t>乙酰-脱氧雪腐镰刀菌烯醇同位素标准溶液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脱氧雪腐镰刀菌烯醇标液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黄曲霉毒素标液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玉米赤霉烯酮标液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黄曲霉毒素质控样品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呕吐毒素质控样品</w:t>
                  </w:r>
                </w:p>
                <w:p>
                  <w:pPr>
                    <w:pStyle w:val="null3"/>
                    <w:jc w:val="center"/>
                  </w:pPr>
                  <w:r>
                    <w:rPr>
                      <w:rFonts w:ascii="仿宋_GB2312" w:hAnsi="仿宋_GB2312" w:cs="仿宋_GB2312" w:eastAsia="仿宋_GB2312"/>
                      <w:sz w:val="18"/>
                      <w:b/>
                      <w:color w:val="000000"/>
                    </w:rPr>
                    <w:t>（核心产品）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玉米赤霉质控样品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赭曲霉毒素质控样品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1800.00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丙酮中马拉硫磷标准溶液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丙酮中甲拌磷砜标准溶液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丙酮中甲拌磷亚砜标准溶液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氯化苦标品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  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氯化钠标品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氯化钾标品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砷单元素溶液标准物质标液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汞单元素溶液标准物质标液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锌单元素溶液标准物质标液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钙单元素溶液标准物质标液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铜单元素溶液标准物质标液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水中钾</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水中钠</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1000mg/mL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砷酸根标品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μg/mL，50ml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360.00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亚砷酸根标品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1000mg/L</w:t>
                  </w:r>
                  <w:r>
                    <w:rPr>
                      <w:rFonts w:ascii="仿宋_GB2312" w:hAnsi="仿宋_GB2312" w:cs="仿宋_GB2312" w:eastAsia="仿宋_GB2312"/>
                      <w:sz w:val="18"/>
                      <w:color w:val="000000"/>
                    </w:rPr>
                    <w:t>，100mL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360.00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脂肪酸标准品21种</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脂肪酸标准品37种</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重金属质控样品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r>
                    <w:rPr>
                      <w:rFonts w:ascii="仿宋_GB2312" w:hAnsi="仿宋_GB2312" w:cs="仿宋_GB2312" w:eastAsia="仿宋_GB2312"/>
                      <w:sz w:val="18"/>
                      <w:color w:val="000000"/>
                    </w:rPr>
                    <w:t>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大米加工精度实物标准</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精碾、适碾2个等级，粳米、籼米各1套标物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小麦粉加工精度实物标准</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个等级1套标物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小麦品尝评分值实物标准样品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黄粒米实物标准品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降落数值实物标准样品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硬度仪实物标准样品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粉质仪实物标准样品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稻谷整精米率标准样品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300g/</w:t>
                  </w:r>
                  <w:r>
                    <w:rPr>
                      <w:rFonts w:ascii="仿宋_GB2312" w:hAnsi="仿宋_GB2312" w:cs="仿宋_GB2312" w:eastAsia="仿宋_GB2312"/>
                      <w:sz w:val="18"/>
                      <w:color w:val="000000"/>
                    </w:rPr>
                    <w:t>袋</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苯并芘标准溶液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 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苯甲酸标准溶液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w:t>
                  </w:r>
                </w:p>
                <w:p>
                  <w:pPr>
                    <w:pStyle w:val="null3"/>
                    <w:jc w:val="left"/>
                  </w:pPr>
                  <w:r>
                    <w:rPr>
                      <w:rFonts w:ascii="仿宋_GB2312" w:hAnsi="仿宋_GB2312" w:cs="仿宋_GB2312" w:eastAsia="仿宋_GB2312"/>
                      <w:sz w:val="18"/>
                      <w:color w:val="000000"/>
                    </w:rPr>
                    <w:t>g/mL, 5mL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抗氧化剂标准溶液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 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585.00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黄曲霉毒素B1标准溶液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530.00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呕吐毒素标准溶液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975.00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玉米赤霉烯酮标溶液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405.00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赭曲霉毒素标溶液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810.00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氢氧化钾标准滴定溶液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(KOH):0.1012mol/L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硫代硫酸钠标准滴定溶液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(Na2S2O3):0.1013mol/L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盐酸标准滴定溶液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(HCl):0.09993mol/L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硫酸标准滴定溶液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c(1/2H2SO4)=0.1002mol/L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1000mg/L</w:t>
                  </w: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氯化苦标准溶液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氢氧化钾标准储备液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(KOH):0.5014mol/L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没食子酸标准储备液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 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无水葡萄糖</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纯度≥98%</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CAS</w:t>
                  </w:r>
                  <w:r>
                    <w:rPr>
                      <w:rFonts w:ascii="仿宋_GB2312" w:hAnsi="仿宋_GB2312" w:cs="仿宋_GB2312" w:eastAsia="仿宋_GB2312"/>
                      <w:sz w:val="18"/>
                    </w:rPr>
                    <w:t>号：50-99-7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亚硝酸盐标准溶液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100mg/L</w:t>
                  </w:r>
                  <w:r>
                    <w:rPr>
                      <w:rFonts w:ascii="仿宋_GB2312" w:hAnsi="仿宋_GB2312" w:cs="仿宋_GB2312" w:eastAsia="仿宋_GB2312"/>
                      <w:sz w:val="18"/>
                      <w:color w:val="000000"/>
                    </w:rPr>
                    <w:t>，50mL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硝酸盐标准溶液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1000mg/L</w:t>
                  </w:r>
                  <w:r>
                    <w:rPr>
                      <w:rFonts w:ascii="仿宋_GB2312" w:hAnsi="仿宋_GB2312" w:cs="仿宋_GB2312" w:eastAsia="仿宋_GB2312"/>
                      <w:sz w:val="18"/>
                      <w:color w:val="000000"/>
                    </w:rPr>
                    <w:t>，50mL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磷化物标准溶液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μg/mL,1.0mL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六号溶剂</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10mg/mL</w:t>
                  </w:r>
                  <w:r>
                    <w:rPr>
                      <w:rFonts w:ascii="仿宋_GB2312" w:hAnsi="仿宋_GB2312" w:cs="仿宋_GB2312" w:eastAsia="仿宋_GB2312"/>
                      <w:sz w:val="18"/>
                      <w:color w:val="000000"/>
                    </w:rPr>
                    <w:t>，5mL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棉酚标准储备液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 1mL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硝酸银标准滴定溶液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(AgNO3):0.1008mol/L</w:t>
                  </w:r>
                  <w:r>
                    <w:rPr>
                      <w:rFonts w:ascii="仿宋_GB2312" w:hAnsi="仿宋_GB2312" w:cs="仿宋_GB2312" w:eastAsia="仿宋_GB2312"/>
                      <w:sz w:val="18"/>
                      <w:color w:val="000000"/>
                    </w:rPr>
                    <w:t>，500mL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240.00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直链淀粉标准溶液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1mg/mL</w:t>
                  </w:r>
                  <w:r>
                    <w:rPr>
                      <w:rFonts w:ascii="仿宋_GB2312" w:hAnsi="仿宋_GB2312" w:cs="仿宋_GB2312" w:eastAsia="仿宋_GB2312"/>
                      <w:sz w:val="18"/>
                      <w:color w:val="000000"/>
                    </w:rPr>
                    <w:t>，100mL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支链淀粉标准溶液</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1mg/mL</w:t>
                  </w:r>
                  <w:r>
                    <w:rPr>
                      <w:rFonts w:ascii="仿宋_GB2312" w:hAnsi="仿宋_GB2312" w:cs="仿宋_GB2312" w:eastAsia="仿宋_GB2312"/>
                      <w:sz w:val="18"/>
                      <w:color w:val="000000"/>
                    </w:rPr>
                    <w:t>，100mL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340.00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十二烷基硫酸钠</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纯度＞99%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多酚</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470.00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角鲨烷</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纯度≧95%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角鲨烯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纯度≧95%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ɑ-生育酚</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纯度≧95%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小麦生物成分分析标准物质（GBW10046）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35g/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3180.00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大米生物成分分析标准物质（GBW10043）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35g/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2700.00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大米粉成分分析标准物质（GBWE100351）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35g/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小麦粉中总汞质控样品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35g/</w:t>
                  </w:r>
                  <w:r>
                    <w:rPr>
                      <w:rFonts w:ascii="仿宋_GB2312" w:hAnsi="仿宋_GB2312" w:cs="仿宋_GB2312" w:eastAsia="仿宋_GB2312"/>
                      <w:sz w:val="18"/>
                      <w:color w:val="000000"/>
                    </w:rPr>
                    <w:t>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多元素标准溶液（Cr/Mn/Cu/As/Se/Cd/Pb)</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  50mL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735.00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多元素标准溶液（Bi/In/Re/Rh/Sc)</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μg/mL，100mL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水中锗</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μg/mL，100mL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有证标准物质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标准物质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相当于HP-5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长度：30m内径：0.25mm</w:t>
                  </w:r>
                </w:p>
                <w:p>
                  <w:pPr>
                    <w:pStyle w:val="null3"/>
                    <w:jc w:val="center"/>
                  </w:pPr>
                  <w:r>
                    <w:rPr>
                      <w:rFonts w:ascii="仿宋_GB2312" w:hAnsi="仿宋_GB2312" w:cs="仿宋_GB2312" w:eastAsia="仿宋_GB2312"/>
                      <w:sz w:val="18"/>
                      <w:color w:val="000000"/>
                    </w:rPr>
                    <w:t>膜厚：0.25</w:t>
                  </w:r>
                  <w:r>
                    <w:rPr>
                      <w:rFonts w:ascii="仿宋_GB2312" w:hAnsi="仿宋_GB2312" w:cs="仿宋_GB2312" w:eastAsia="仿宋_GB2312"/>
                      <w:sz w:val="18"/>
                      <w:color w:val="000000"/>
                    </w:rPr>
                    <w:t>μm</w:t>
                  </w:r>
                </w:p>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9000.00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相当于DB-35MS</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长度：30m内径：0.32mm</w:t>
                  </w:r>
                </w:p>
                <w:p>
                  <w:pPr>
                    <w:pStyle w:val="null3"/>
                    <w:jc w:val="center"/>
                  </w:pPr>
                  <w:r>
                    <w:rPr>
                      <w:rFonts w:ascii="仿宋_GB2312" w:hAnsi="仿宋_GB2312" w:cs="仿宋_GB2312" w:eastAsia="仿宋_GB2312"/>
                      <w:sz w:val="18"/>
                      <w:color w:val="000000"/>
                    </w:rPr>
                    <w:t>膜厚：0.25</w:t>
                  </w:r>
                  <w:r>
                    <w:rPr>
                      <w:rFonts w:ascii="仿宋_GB2312" w:hAnsi="仿宋_GB2312" w:cs="仿宋_GB2312" w:eastAsia="仿宋_GB2312"/>
                      <w:sz w:val="18"/>
                      <w:color w:val="000000"/>
                    </w:rPr>
                    <w:t>μm</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11000.00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相当于VF-1701ms</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长度：30m内径：0.25mm</w:t>
                  </w:r>
                </w:p>
                <w:p>
                  <w:pPr>
                    <w:pStyle w:val="null3"/>
                    <w:jc w:val="center"/>
                  </w:pPr>
                  <w:r>
                    <w:rPr>
                      <w:rFonts w:ascii="仿宋_GB2312" w:hAnsi="仿宋_GB2312" w:cs="仿宋_GB2312" w:eastAsia="仿宋_GB2312"/>
                      <w:sz w:val="18"/>
                      <w:color w:val="000000"/>
                    </w:rPr>
                    <w:t>膜厚：0.25</w:t>
                  </w:r>
                  <w:r>
                    <w:rPr>
                      <w:rFonts w:ascii="仿宋_GB2312" w:hAnsi="仿宋_GB2312" w:cs="仿宋_GB2312" w:eastAsia="仿宋_GB2312"/>
                      <w:sz w:val="18"/>
                      <w:color w:val="000000"/>
                    </w:rPr>
                    <w:t>μm</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10950.00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相当于DB-1701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长度：30m内径：0.32mm</w:t>
                  </w:r>
                </w:p>
                <w:p>
                  <w:pPr>
                    <w:pStyle w:val="null3"/>
                    <w:jc w:val="center"/>
                  </w:pPr>
                  <w:r>
                    <w:rPr>
                      <w:rFonts w:ascii="仿宋_GB2312" w:hAnsi="仿宋_GB2312" w:cs="仿宋_GB2312" w:eastAsia="仿宋_GB2312"/>
                      <w:sz w:val="18"/>
                      <w:color w:val="000000"/>
                    </w:rPr>
                    <w:t>膜厚：0.25</w:t>
                  </w:r>
                  <w:r>
                    <w:rPr>
                      <w:rFonts w:ascii="仿宋_GB2312" w:hAnsi="仿宋_GB2312" w:cs="仿宋_GB2312" w:eastAsia="仿宋_GB2312"/>
                      <w:sz w:val="18"/>
                      <w:color w:val="000000"/>
                    </w:rPr>
                    <w:t>μm</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10700.00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相当于SH-Rtx-5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长度：30m内径：0.25mm</w:t>
                  </w:r>
                </w:p>
                <w:p>
                  <w:pPr>
                    <w:pStyle w:val="null3"/>
                    <w:jc w:val="center"/>
                  </w:pPr>
                  <w:r>
                    <w:rPr>
                      <w:rFonts w:ascii="仿宋_GB2312" w:hAnsi="仿宋_GB2312" w:cs="仿宋_GB2312" w:eastAsia="仿宋_GB2312"/>
                      <w:sz w:val="18"/>
                      <w:color w:val="000000"/>
                    </w:rPr>
                    <w:t>膜厚：0.25</w:t>
                  </w:r>
                  <w:r>
                    <w:rPr>
                      <w:rFonts w:ascii="仿宋_GB2312" w:hAnsi="仿宋_GB2312" w:cs="仿宋_GB2312" w:eastAsia="仿宋_GB2312"/>
                      <w:sz w:val="18"/>
                      <w:color w:val="000000"/>
                    </w:rPr>
                    <w:t>μm</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8210.00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空心阴极灯铅灯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相当于AS-1-2</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空心阴极灯镉灯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420.00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空心阴极灯铬</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相当于AS-1-4</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空心阴极灯铜</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空心阴极灯锌</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相当于AS-1-7</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空心阴极灯钙</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相当于AS-1-8</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空心阴极灯钾</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空心阴极灯钠</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相当于AS-1-10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335.00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C18</w:t>
                  </w:r>
                  <w:r>
                    <w:rPr>
                      <w:rFonts w:ascii="仿宋_GB2312" w:hAnsi="仿宋_GB2312" w:cs="仿宋_GB2312" w:eastAsia="仿宋_GB2312"/>
                      <w:sz w:val="18"/>
                      <w:color w:val="000000"/>
                    </w:rPr>
                    <w:t>液相色谱分离柱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4.6mm*150mm,4</w:t>
                  </w:r>
                  <w:r>
                    <w:rPr>
                      <w:rFonts w:ascii="仿宋_GB2312" w:hAnsi="仿宋_GB2312" w:cs="仿宋_GB2312" w:eastAsia="仿宋_GB2312"/>
                      <w:sz w:val="18"/>
                      <w:color w:val="000000"/>
                    </w:rPr>
                    <w:t>μm</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10000.00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C18</w:t>
                  </w:r>
                  <w:r>
                    <w:rPr>
                      <w:rFonts w:ascii="仿宋_GB2312" w:hAnsi="仿宋_GB2312" w:cs="仿宋_GB2312" w:eastAsia="仿宋_GB2312"/>
                      <w:sz w:val="18"/>
                      <w:color w:val="000000"/>
                    </w:rPr>
                    <w:t>液相色谱分离柱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4.6mm*150mm,5</w:t>
                  </w:r>
                  <w:r>
                    <w:rPr>
                      <w:rFonts w:ascii="仿宋_GB2312" w:hAnsi="仿宋_GB2312" w:cs="仿宋_GB2312" w:eastAsia="仿宋_GB2312"/>
                      <w:sz w:val="18"/>
                      <w:color w:val="000000"/>
                    </w:rPr>
                    <w:t>μm</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9200.00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超高效液相色谱柱</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Shim-pack GIST C18, 3um, 2.1x100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5715.00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液相过滤白头</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用于安捷伦1200型液相</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660.00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微萃取过滤头</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w:t>
                  </w:r>
                  <w:r>
                    <w:rPr>
                      <w:rFonts w:ascii="仿宋_GB2312" w:hAnsi="仿宋_GB2312" w:cs="仿宋_GB2312" w:eastAsia="仿宋_GB2312"/>
                      <w:sz w:val="18"/>
                      <w:color w:val="000000"/>
                    </w:rPr>
                    <w:t>，0.2µm</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9910.00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内插管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塑料或玻璃</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样品瓶配套用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935.00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瓶盖</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405.00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储液瓶</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玻璃或石英</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465.00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石墨管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both"/>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17100.00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进样杯</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，1000个/包</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用于耶拿Zeenit 700P分光光度计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圆底顶空瓶</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参照安捷伦货号：5183-4474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695.00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顶空瓶盖</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配套20mL顶空瓶</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参照安捷伦货号：5183-4477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1090.00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标液储存瓶</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参照安捷伦货号：5183-4323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1400.00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内插管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μL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参照安捷伦货号：5181-1270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1680.00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内插管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μL</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参照安捷伦货号：5190-4073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500.00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农药残留前处理包</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V15</w:t>
                  </w:r>
                  <w:r>
                    <w:rPr>
                      <w:rFonts w:ascii="仿宋_GB2312" w:hAnsi="仿宋_GB2312" w:cs="仿宋_GB2312" w:eastAsia="仿宋_GB2312"/>
                      <w:sz w:val="18"/>
                      <w:color w:val="000000"/>
                    </w:rPr>
                    <w:t>去脂试剂盒，25个/盒</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大型仪器耗材</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用于本立科技自动样品前处理系统</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1470.00</w:t>
                  </w:r>
                </w:p>
              </w:tc>
            </w:tr>
            <w:tr>
              <w:tc>
                <w:tcPr>
                  <w:tcW w:type="dxa" w:w="2548"/>
                  <w:gridSpan w:val="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FF0000"/>
                    </w:rPr>
                    <w:t>备注：</w:t>
                  </w:r>
                  <w:r>
                    <w:rPr>
                      <w:rFonts w:ascii="仿宋_GB2312" w:hAnsi="仿宋_GB2312" w:cs="仿宋_GB2312" w:eastAsia="仿宋_GB2312"/>
                      <w:sz w:val="24"/>
                      <w:b/>
                      <w:color w:val="FF0000"/>
                    </w:rPr>
                    <w:t>合同结算价以中标时各类试剂、耗材所报的单价为准，结算金额按采购人实际采购量进行计算。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接到采购人订单后，3-5天内到货。如货期有变化，提前通知采购人。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接到采购人订单后，3-5天内到货。如货期有变化，提前通知采购人。</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每月产品供货完成，验收合格后据实结算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质保期为产品的有效期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质保期为产品的有效期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（二）未按合同要求的提供产品或试剂耗材质量不能满足技术要求，西安市粮油质量检验中心有权终止合同，甚至对供方违约行为进行追究。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（二）未按合同要求的提供产品或试剂耗材质量不能满足技术要求，西安市粮油质量检验中心有权终止合同，甚至对供方违约行为进行追究。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2、为保证项目顺利实施，投标人可以报名多个标段，但只能承担一个标段的采购内容。（1标段中标人不进入2标段中标候选人排序；按照综合评审顺延至三家投标人进入中标候选人排序；评审顺序为：1标段--2标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产品技术参数表 分项报价表-1标段(1).docx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产品技术参数表 投标函 分项报价表-2标段.docx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投标产品的技术指标、参数完全符合、满足招标文件要求，没有负偏离的计30分；参数负偏离一项扣0.3分，扣完为止。 注：提供投标产品的主要技术指标、参数的相应的证明材料（不限于产品彩页、检验报告、官网和功能截图等技术支持性文件资料），经评审专家审定得分。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但不限于：①整体计划安排、②包装运输及配送方案、③人员配置及分工、④质量保障措施、⑤验收方案；满分15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仓储及来源渠道</w:t>
            </w:r>
          </w:p>
        </w:tc>
        <w:tc>
          <w:tcPr>
            <w:tcW w:type="dxa" w:w="2492"/>
          </w:tcPr>
          <w:p>
            <w:pPr>
              <w:pStyle w:val="null3"/>
            </w:pPr>
            <w:r>
              <w:rPr>
                <w:rFonts w:ascii="仿宋_GB2312" w:hAnsi="仿宋_GB2312" w:cs="仿宋_GB2312" w:eastAsia="仿宋_GB2312"/>
              </w:rPr>
              <w:t>提供与投标产品相适应的仓储及设施设备，包括：①低温冷藏及运输安全保障方案、②试剂耗材的备货充足能确保正常供应（提供相关证明材料）、③所投产品的合法来源渠道证明文件（不限于原厂授权）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详细评审---仓储及来源渠道.docx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1.在项目实施所在地有相应的技术支持或售后服务机构（提供有效的办公场所证明材料），计2分；未提供不得分。 2.根据采购人实际情况提供相适应售后服务方案包括但不限于：①退/调换货方案、②应急方案、③服务响应时间、④售后服务承诺等; 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提供投标人2022年1月1日至今（以合同签订日期为准）同类项目完整合同，每提供1个计1分，最高得6分，提供不全不计分。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投标产品的技术指标、参数完全符合、满足招标文件要求，没有负偏离的计30分；参数负偏离一项扣0.3分，扣完为止。 注：提供投标产品的主要技术指标、参数的相应的证明材料（不限于产品彩页、检验报告、官网和功能截图等技术支持性文件资料），经评审专家审定得分。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但不限于：①整体计划安排、②包装运输及配送方案、③人员配置及分工、④质量保障措施、⑤验收方案；满分15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仓储及来源渠道</w:t>
            </w:r>
          </w:p>
        </w:tc>
        <w:tc>
          <w:tcPr>
            <w:tcW w:type="dxa" w:w="2492"/>
          </w:tcPr>
          <w:p>
            <w:pPr>
              <w:pStyle w:val="null3"/>
            </w:pPr>
            <w:r>
              <w:rPr>
                <w:rFonts w:ascii="仿宋_GB2312" w:hAnsi="仿宋_GB2312" w:cs="仿宋_GB2312" w:eastAsia="仿宋_GB2312"/>
              </w:rPr>
              <w:t>提供与投标产品相适应的仓储及设施设备，包括：①低温冷藏及运输安全保障方案、②试剂耗材的备货充足能确保正常供应（提供相关证明材料）、③所投产品的合法来源渠道证明文件（不限于原厂授权）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详细评审---仓储及来源渠道.docx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1.在项目实施所在地有相应的技术支持或售后服务机构（提供有效的办公场所证明材料），计2分；未提供不得分。 2.根据采购人实际情况提供相适应售后服务方案包括但不限于：①退/调换货方案、②应急方案、③服务响应时间、④售后服务承诺等; 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提供投标人2022年1月1日至今（以合同签订日期为准）同类项目完整合同，每提供1个计1分，最高得6分，提供不全不计分。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详见附件：详细评审---仓储及来源渠道.docx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详见附件：分项报价表-1标段(1).docx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详见附件：详细评审---仓储及来源渠道.docx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详见附件：分项报价表-2标段.docx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