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版本号：KY2025-1-51020250527001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劳务派遣服务项目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KY2025-1-510</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劳务派遣服务项目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KY2025-1-510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劳务派遣服务项目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儿童医院劳务派遣服务项目，1项，根据医院工作需要，现开展劳务派遣服务项目。该项目以劳务派遣公司招聘相应岗位人员为我单位服务为形式，承担多个部门的辅助类工作。派遣公司应对派遣人员从招聘、入职、体检、培训、合同签订、工资发放、社保缴纳、福利发放、考勤管理、解聘辞退、纠纷处理等进行全流程管理，并承担相应的法律责任及赔偿责任；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投标人提供承诺:本公司法人、出资人、参股人无招标方在职工作人员。如有不实，我方将无条件地退出本项目的采购活动。</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8、特定资格：供应商须提供有效的《劳务派遣经营许可证》。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陆老师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预算金额向采购代理机构交纳中标服务费，交费金额参照国家计委颁布的《招标代理服务收费管理暂行办法》（计价格[2002]1980号）及发改办价格[2003]857号文件的规定标准下浮20%收取。本项目中标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劳务派遣服务项目，1项，根据医院工作需要，现开展劳务派遣服务项目。该项目以劳务派遣公司招聘相应岗位人员为我单位服务为形式，承担多个部门的辅助类工作。派遣公司应对派遣人员从招聘、入职、体检、培训、合同签订、工资发放、社保缴纳、福利发放、考勤管理、解聘辞退、纠纷处理等进行全流程管理，并承担相应的法律责任及赔偿责任；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西安市儿童医院劳务派遣服务项目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标的名称：西安市儿童医院劳务派遣服务项目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一、项目简介：</w:t>
            </w:r>
          </w:p>
          <w:p>
            <w:pPr>
              <w:pStyle w:val="null3"/>
              <w:ind w:firstLine="480"/>
              <w:jc w:val="both"/>
            </w:pPr>
            <w:r>
              <w:rPr>
                <w:rFonts w:ascii="仿宋_GB2312" w:hAnsi="仿宋_GB2312" w:cs="仿宋_GB2312" w:eastAsia="仿宋_GB2312"/>
                <w:sz w:val="24"/>
              </w:rPr>
              <w:t>根据医院工作需要，现开展劳务派遣服务项目。该项目以劳务派遣公司招聘相应岗位人员为我单位服务为形式，承担多个部门的辅助类工作。派遣公司应对派遣人员从招聘、入职、体检、培训、合同签订、工资发放、社保缴纳、福利发放、考勤管理、解聘辞退、纠纷处理等进行全流程管理，并承担相应的法律责任及赔偿责任。</w:t>
            </w:r>
          </w:p>
          <w:p>
            <w:pPr>
              <w:pStyle w:val="null3"/>
              <w:jc w:val="left"/>
            </w:pPr>
            <w:r>
              <w:rPr>
                <w:rFonts w:ascii="仿宋_GB2312" w:hAnsi="仿宋_GB2312" w:cs="仿宋_GB2312" w:eastAsia="仿宋_GB2312"/>
                <w:sz w:val="24"/>
              </w:rPr>
              <w:t>二、项目服务要求：</w:t>
            </w:r>
          </w:p>
          <w:p>
            <w:pPr>
              <w:pStyle w:val="null3"/>
              <w:jc w:val="both"/>
            </w:pPr>
            <w:r>
              <w:rPr>
                <w:rFonts w:ascii="仿宋_GB2312" w:hAnsi="仿宋_GB2312" w:cs="仿宋_GB2312" w:eastAsia="仿宋_GB2312"/>
                <w:sz w:val="24"/>
              </w:rPr>
              <w:t>（一）项目要求</w:t>
            </w:r>
          </w:p>
          <w:p>
            <w:pPr>
              <w:pStyle w:val="null3"/>
              <w:jc w:val="both"/>
            </w:pPr>
            <w:r>
              <w:rPr>
                <w:rFonts w:ascii="仿宋_GB2312" w:hAnsi="仿宋_GB2312" w:cs="仿宋_GB2312" w:eastAsia="仿宋_GB2312"/>
                <w:sz w:val="24"/>
              </w:rPr>
              <w:t>1.人员招聘:</w:t>
            </w:r>
            <w:r>
              <w:rPr>
                <w:rFonts w:ascii="仿宋_GB2312" w:hAnsi="仿宋_GB2312" w:cs="仿宋_GB2312" w:eastAsia="仿宋_GB2312"/>
                <w:sz w:val="24"/>
              </w:rPr>
              <w:t>根据院方要求拟写招聘公告，组织资质审核、笔试、面试、体检，员工提供入职前心理测评等工作。</w:t>
            </w:r>
          </w:p>
          <w:p>
            <w:pPr>
              <w:pStyle w:val="null3"/>
              <w:jc w:val="both"/>
            </w:pPr>
            <w:r>
              <w:rPr>
                <w:rFonts w:ascii="仿宋_GB2312" w:hAnsi="仿宋_GB2312" w:cs="仿宋_GB2312" w:eastAsia="仿宋_GB2312"/>
                <w:sz w:val="24"/>
              </w:rPr>
              <w:t>招聘流程：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1）发布招聘信息及报名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2）资格审查和简历筛选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3）笔试面试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4）心理测评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5）拟定录用名单。</w:t>
            </w:r>
          </w:p>
          <w:p>
            <w:pPr>
              <w:pStyle w:val="null3"/>
              <w:jc w:val="both"/>
            </w:pPr>
            <w:r>
              <w:rPr>
                <w:rFonts w:ascii="仿宋_GB2312" w:hAnsi="仿宋_GB2312" w:cs="仿宋_GB2312" w:eastAsia="仿宋_GB2312"/>
                <w:sz w:val="24"/>
              </w:rPr>
              <w:t>要求能够及时响应并完成招聘工作，原则上从发布公告起，一个月内完成招聘任务。</w:t>
            </w:r>
          </w:p>
          <w:p>
            <w:pPr>
              <w:pStyle w:val="null3"/>
              <w:jc w:val="both"/>
            </w:pPr>
            <w:r>
              <w:rPr>
                <w:rFonts w:ascii="仿宋_GB2312" w:hAnsi="仿宋_GB2312" w:cs="仿宋_GB2312" w:eastAsia="仿宋_GB2312"/>
                <w:sz w:val="24"/>
              </w:rPr>
              <w:t>2. 劳动合同制订:制定严谨且合法的《劳动合同》，公司对合同文本负全责。</w:t>
            </w:r>
          </w:p>
          <w:p>
            <w:pPr>
              <w:pStyle w:val="null3"/>
              <w:jc w:val="both"/>
            </w:pPr>
            <w:r>
              <w:rPr>
                <w:rFonts w:ascii="仿宋_GB2312" w:hAnsi="仿宋_GB2312" w:cs="仿宋_GB2312" w:eastAsia="仿宋_GB2312"/>
                <w:sz w:val="24"/>
              </w:rPr>
              <w:t>3. 劳动合同签订: 与员工签订劳动合同，建立劳动关系并管理劳动合同。</w:t>
            </w:r>
          </w:p>
          <w:p>
            <w:pPr>
              <w:pStyle w:val="null3"/>
              <w:jc w:val="both"/>
            </w:pPr>
            <w:r>
              <w:rPr>
                <w:rFonts w:ascii="仿宋_GB2312" w:hAnsi="仿宋_GB2312" w:cs="仿宋_GB2312" w:eastAsia="仿宋_GB2312"/>
                <w:sz w:val="24"/>
              </w:rPr>
              <w:t>4. 员工信息管理:对员工信息进行系统管理，要求能够做到随时查询和提供。</w:t>
            </w:r>
          </w:p>
          <w:p>
            <w:pPr>
              <w:pStyle w:val="null3"/>
              <w:jc w:val="both"/>
            </w:pPr>
            <w:r>
              <w:rPr>
                <w:rFonts w:ascii="仿宋_GB2312" w:hAnsi="仿宋_GB2312" w:cs="仿宋_GB2312" w:eastAsia="仿宋_GB2312"/>
                <w:sz w:val="24"/>
              </w:rPr>
              <w:t>5. 劳动合同查阅：提供查阅服务、证明出具。</w:t>
            </w:r>
          </w:p>
          <w:p>
            <w:pPr>
              <w:pStyle w:val="null3"/>
              <w:jc w:val="both"/>
            </w:pPr>
            <w:r>
              <w:rPr>
                <w:rFonts w:ascii="仿宋_GB2312" w:hAnsi="仿宋_GB2312" w:cs="仿宋_GB2312" w:eastAsia="仿宋_GB2312"/>
                <w:sz w:val="24"/>
              </w:rPr>
              <w:t>6. 社保账户的新建：根据社保政策为员工新建社保账户，包括养老、医疗、工伤、失业、生育保险等。</w:t>
            </w:r>
          </w:p>
          <w:p>
            <w:pPr>
              <w:pStyle w:val="null3"/>
              <w:jc w:val="both"/>
            </w:pPr>
            <w:r>
              <w:rPr>
                <w:rFonts w:ascii="仿宋_GB2312" w:hAnsi="仿宋_GB2312" w:cs="仿宋_GB2312" w:eastAsia="仿宋_GB2312"/>
                <w:sz w:val="24"/>
              </w:rPr>
              <w:t>7. 社保的缴纳：按月将社保费用缴纳至参保人员账户。</w:t>
            </w:r>
          </w:p>
          <w:p>
            <w:pPr>
              <w:pStyle w:val="null3"/>
              <w:jc w:val="both"/>
            </w:pPr>
            <w:r>
              <w:rPr>
                <w:rFonts w:ascii="仿宋_GB2312" w:hAnsi="仿宋_GB2312" w:cs="仿宋_GB2312" w:eastAsia="仿宋_GB2312"/>
                <w:sz w:val="24"/>
              </w:rPr>
              <w:t>8. 社保待遇申领：为员工办理养老金、工伤赔偿、失业金等待遇申领。</w:t>
            </w:r>
          </w:p>
          <w:p>
            <w:pPr>
              <w:pStyle w:val="null3"/>
              <w:jc w:val="both"/>
            </w:pPr>
            <w:r>
              <w:rPr>
                <w:rFonts w:ascii="仿宋_GB2312" w:hAnsi="仿宋_GB2312" w:cs="仿宋_GB2312" w:eastAsia="仿宋_GB2312"/>
                <w:sz w:val="24"/>
              </w:rPr>
              <w:t>9.社保报销 ：工伤申报、认定、伤残等级鉴定、劳动能力鉴定，医疗、生育、工伤费用的报销。</w:t>
            </w:r>
          </w:p>
          <w:p>
            <w:pPr>
              <w:pStyle w:val="null3"/>
              <w:jc w:val="both"/>
            </w:pPr>
            <w:r>
              <w:rPr>
                <w:rFonts w:ascii="仿宋_GB2312" w:hAnsi="仿宋_GB2312" w:cs="仿宋_GB2312" w:eastAsia="仿宋_GB2312"/>
                <w:sz w:val="24"/>
              </w:rPr>
              <w:t>10.社保缴纳核算：对员工每月需缴纳的保险金额进行核算。</w:t>
            </w:r>
          </w:p>
          <w:p>
            <w:pPr>
              <w:pStyle w:val="null3"/>
              <w:jc w:val="both"/>
            </w:pPr>
            <w:r>
              <w:rPr>
                <w:rFonts w:ascii="仿宋_GB2312" w:hAnsi="仿宋_GB2312" w:cs="仿宋_GB2312" w:eastAsia="仿宋_GB2312"/>
                <w:sz w:val="24"/>
              </w:rPr>
              <w:t>11.社保查询：为员工提供社会保险参保状况查询服务。</w:t>
            </w:r>
          </w:p>
          <w:p>
            <w:pPr>
              <w:pStyle w:val="null3"/>
              <w:jc w:val="both"/>
            </w:pPr>
            <w:r>
              <w:rPr>
                <w:rFonts w:ascii="仿宋_GB2312" w:hAnsi="仿宋_GB2312" w:cs="仿宋_GB2312" w:eastAsia="仿宋_GB2312"/>
                <w:sz w:val="24"/>
              </w:rPr>
              <w:t>12.养老台账打印：为有需要的员工，每年提供养老台账明细的打印。</w:t>
            </w:r>
          </w:p>
          <w:p>
            <w:pPr>
              <w:pStyle w:val="null3"/>
              <w:jc w:val="both"/>
            </w:pPr>
            <w:r>
              <w:rPr>
                <w:rFonts w:ascii="仿宋_GB2312" w:hAnsi="仿宋_GB2312" w:cs="仿宋_GB2312" w:eastAsia="仿宋_GB2312"/>
                <w:sz w:val="24"/>
              </w:rPr>
              <w:t>13.社保卡办理：为员工及时办理社会保障卡。</w:t>
            </w:r>
          </w:p>
          <w:p>
            <w:pPr>
              <w:pStyle w:val="null3"/>
              <w:jc w:val="both"/>
            </w:pPr>
            <w:r>
              <w:rPr>
                <w:rFonts w:ascii="仿宋_GB2312" w:hAnsi="仿宋_GB2312" w:cs="仿宋_GB2312" w:eastAsia="仿宋_GB2312"/>
                <w:sz w:val="24"/>
              </w:rPr>
              <w:t>14.社保证明的开具：为员工出具各类保险证明。</w:t>
            </w:r>
          </w:p>
          <w:p>
            <w:pPr>
              <w:pStyle w:val="null3"/>
              <w:jc w:val="both"/>
            </w:pPr>
            <w:r>
              <w:rPr>
                <w:rFonts w:ascii="仿宋_GB2312" w:hAnsi="仿宋_GB2312" w:cs="仿宋_GB2312" w:eastAsia="仿宋_GB2312"/>
                <w:sz w:val="24"/>
              </w:rPr>
              <w:t>15.社保政策咨询：为员工提供社会保险政策解答咨询。</w:t>
            </w:r>
          </w:p>
          <w:p>
            <w:pPr>
              <w:pStyle w:val="null3"/>
              <w:jc w:val="both"/>
            </w:pPr>
            <w:r>
              <w:rPr>
                <w:rFonts w:ascii="仿宋_GB2312" w:hAnsi="仿宋_GB2312" w:cs="仿宋_GB2312" w:eastAsia="仿宋_GB2312"/>
                <w:sz w:val="24"/>
              </w:rPr>
              <w:t>16.入职手续办理：对考核合格的员工进行规范性、系统性的入职管理服务。</w:t>
            </w:r>
          </w:p>
          <w:p>
            <w:pPr>
              <w:pStyle w:val="null3"/>
              <w:jc w:val="both"/>
            </w:pPr>
            <w:r>
              <w:rPr>
                <w:rFonts w:ascii="仿宋_GB2312" w:hAnsi="仿宋_GB2312" w:cs="仿宋_GB2312" w:eastAsia="仿宋_GB2312"/>
                <w:sz w:val="24"/>
              </w:rPr>
              <w:t>17.离职手续办理：对需要办理离职手续的员工进行规范性、系统性的离职管理服务。</w:t>
            </w:r>
          </w:p>
          <w:p>
            <w:pPr>
              <w:pStyle w:val="null3"/>
              <w:jc w:val="both"/>
            </w:pPr>
            <w:r>
              <w:rPr>
                <w:rFonts w:ascii="仿宋_GB2312" w:hAnsi="仿宋_GB2312" w:cs="仿宋_GB2312" w:eastAsia="仿宋_GB2312"/>
                <w:sz w:val="24"/>
              </w:rPr>
              <w:t>18.解聘手续办理：按照解聘程序办理派遣人员退回、解聘等手续。</w:t>
            </w:r>
          </w:p>
          <w:p>
            <w:pPr>
              <w:pStyle w:val="null3"/>
              <w:jc w:val="both"/>
            </w:pPr>
            <w:r>
              <w:rPr>
                <w:rFonts w:ascii="仿宋_GB2312" w:hAnsi="仿宋_GB2312" w:cs="仿宋_GB2312" w:eastAsia="仿宋_GB2312"/>
                <w:sz w:val="24"/>
              </w:rPr>
              <w:t>19.员工工资核算：每月对工资单进行核算，确保工资核算准确无误且及时。</w:t>
            </w:r>
          </w:p>
          <w:p>
            <w:pPr>
              <w:pStyle w:val="null3"/>
              <w:jc w:val="both"/>
            </w:pPr>
            <w:r>
              <w:rPr>
                <w:rFonts w:ascii="仿宋_GB2312" w:hAnsi="仿宋_GB2312" w:cs="仿宋_GB2312" w:eastAsia="仿宋_GB2312"/>
                <w:sz w:val="24"/>
              </w:rPr>
              <w:t>20.员工工资发放管理：提供工资卡办理及工资发放服务。</w:t>
            </w:r>
          </w:p>
          <w:p>
            <w:pPr>
              <w:pStyle w:val="null3"/>
              <w:jc w:val="both"/>
            </w:pPr>
            <w:r>
              <w:rPr>
                <w:rFonts w:ascii="仿宋_GB2312" w:hAnsi="仿宋_GB2312" w:cs="仿宋_GB2312" w:eastAsia="仿宋_GB2312"/>
                <w:sz w:val="24"/>
              </w:rPr>
              <w:t>21.个税申报：提供员工所得税的申报缴纳服务。</w:t>
            </w:r>
          </w:p>
          <w:p>
            <w:pPr>
              <w:pStyle w:val="null3"/>
              <w:jc w:val="both"/>
            </w:pPr>
            <w:r>
              <w:rPr>
                <w:rFonts w:ascii="仿宋_GB2312" w:hAnsi="仿宋_GB2312" w:cs="仿宋_GB2312" w:eastAsia="仿宋_GB2312"/>
                <w:sz w:val="24"/>
              </w:rPr>
              <w:t>22.工资单服务：提供标准或定制版加密工资单服务。</w:t>
            </w:r>
          </w:p>
          <w:p>
            <w:pPr>
              <w:pStyle w:val="null3"/>
              <w:jc w:val="both"/>
            </w:pPr>
            <w:r>
              <w:rPr>
                <w:rFonts w:ascii="仿宋_GB2312" w:hAnsi="仿宋_GB2312" w:cs="仿宋_GB2312" w:eastAsia="仿宋_GB2312"/>
                <w:sz w:val="24"/>
              </w:rPr>
              <w:t>23.个税完税证明：提供个人所得税缴纳完税证明。</w:t>
            </w:r>
          </w:p>
          <w:p>
            <w:pPr>
              <w:pStyle w:val="null3"/>
              <w:jc w:val="both"/>
            </w:pPr>
            <w:r>
              <w:rPr>
                <w:rFonts w:ascii="仿宋_GB2312" w:hAnsi="仿宋_GB2312" w:cs="仿宋_GB2312" w:eastAsia="仿宋_GB2312"/>
                <w:sz w:val="24"/>
              </w:rPr>
              <w:t>24.综合汇缴清算服务：协助员工办理年度个税汇算清缴手续。</w:t>
            </w:r>
          </w:p>
          <w:p>
            <w:pPr>
              <w:pStyle w:val="null3"/>
              <w:jc w:val="both"/>
            </w:pPr>
            <w:r>
              <w:rPr>
                <w:rFonts w:ascii="仿宋_GB2312" w:hAnsi="仿宋_GB2312" w:cs="仿宋_GB2312" w:eastAsia="仿宋_GB2312"/>
                <w:sz w:val="24"/>
              </w:rPr>
              <w:t>25.商业险购买：特殊人群商业险的购买。</w:t>
            </w:r>
          </w:p>
          <w:p>
            <w:pPr>
              <w:pStyle w:val="null3"/>
              <w:jc w:val="both"/>
            </w:pPr>
            <w:r>
              <w:rPr>
                <w:rFonts w:ascii="仿宋_GB2312" w:hAnsi="仿宋_GB2312" w:cs="仿宋_GB2312" w:eastAsia="仿宋_GB2312"/>
                <w:sz w:val="24"/>
              </w:rPr>
              <w:t>26.员工培训：员工心理建设培训、专业技能培训，每年不低于3次培训（包括不限于入职培训、礼仪培训、心理培训等）。</w:t>
            </w:r>
          </w:p>
          <w:p>
            <w:pPr>
              <w:pStyle w:val="null3"/>
              <w:jc w:val="both"/>
            </w:pPr>
            <w:r>
              <w:rPr>
                <w:rFonts w:ascii="仿宋_GB2312" w:hAnsi="仿宋_GB2312" w:cs="仿宋_GB2312" w:eastAsia="仿宋_GB2312"/>
                <w:sz w:val="24"/>
              </w:rPr>
              <w:t>27.残保金：缴纳派遣员工残保金。</w:t>
            </w:r>
          </w:p>
          <w:p>
            <w:pPr>
              <w:pStyle w:val="null3"/>
              <w:jc w:val="both"/>
            </w:pPr>
            <w:r>
              <w:rPr>
                <w:rFonts w:ascii="仿宋_GB2312" w:hAnsi="仿宋_GB2312" w:cs="仿宋_GB2312" w:eastAsia="仿宋_GB2312"/>
                <w:sz w:val="24"/>
              </w:rPr>
              <w:t>（二）乙方责任</w:t>
            </w:r>
          </w:p>
          <w:p>
            <w:pPr>
              <w:pStyle w:val="null3"/>
              <w:jc w:val="both"/>
            </w:pPr>
            <w:r>
              <w:rPr>
                <w:rFonts w:ascii="仿宋_GB2312" w:hAnsi="仿宋_GB2312" w:cs="仿宋_GB2312" w:eastAsia="仿宋_GB2312"/>
                <w:sz w:val="24"/>
              </w:rPr>
              <w:t>1.按月核算派遣员工工资及社保缴纳。</w:t>
            </w:r>
          </w:p>
          <w:p>
            <w:pPr>
              <w:pStyle w:val="null3"/>
              <w:jc w:val="both"/>
            </w:pPr>
            <w:r>
              <w:rPr>
                <w:rFonts w:ascii="仿宋_GB2312" w:hAnsi="仿宋_GB2312" w:cs="仿宋_GB2312" w:eastAsia="仿宋_GB2312"/>
                <w:sz w:val="24"/>
              </w:rPr>
              <w:t>2.派遣员工重病、重疾的慰问和关怀。</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派遣员工因公</w:t>
            </w:r>
            <w:r>
              <w:rPr>
                <w:rFonts w:ascii="仿宋_GB2312" w:hAnsi="仿宋_GB2312" w:cs="仿宋_GB2312" w:eastAsia="仿宋_GB2312"/>
                <w:sz w:val="24"/>
              </w:rPr>
              <w:t>/非因公死亡的后续事宜处理以及全部的经济赔偿。</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派遣员工劳动纠纷及</w:t>
            </w:r>
            <w:r>
              <w:rPr>
                <w:rFonts w:ascii="仿宋_GB2312" w:hAnsi="仿宋_GB2312" w:cs="仿宋_GB2312" w:eastAsia="仿宋_GB2312"/>
                <w:sz w:val="24"/>
              </w:rPr>
              <w:t>工伤</w:t>
            </w:r>
            <w:r>
              <w:rPr>
                <w:rFonts w:ascii="仿宋_GB2312" w:hAnsi="仿宋_GB2312" w:cs="仿宋_GB2312" w:eastAsia="仿宋_GB2312"/>
                <w:sz w:val="24"/>
              </w:rPr>
              <w:t>意外等处理。</w:t>
            </w:r>
          </w:p>
          <w:p>
            <w:pPr>
              <w:pStyle w:val="null3"/>
              <w:jc w:val="both"/>
            </w:pPr>
            <w:r>
              <w:rPr>
                <w:rFonts w:ascii="仿宋_GB2312" w:hAnsi="仿宋_GB2312" w:cs="仿宋_GB2312" w:eastAsia="仿宋_GB2312"/>
                <w:sz w:val="24"/>
              </w:rPr>
              <w:t>5.派遣</w:t>
            </w:r>
            <w:r>
              <w:rPr>
                <w:rFonts w:ascii="仿宋_GB2312" w:hAnsi="仿宋_GB2312" w:cs="仿宋_GB2312" w:eastAsia="仿宋_GB2312"/>
                <w:sz w:val="24"/>
              </w:rPr>
              <w:t>劳动纠纷及</w:t>
            </w:r>
            <w:r>
              <w:rPr>
                <w:rFonts w:ascii="仿宋_GB2312" w:hAnsi="仿宋_GB2312" w:cs="仿宋_GB2312" w:eastAsia="仿宋_GB2312"/>
                <w:sz w:val="24"/>
              </w:rPr>
              <w:t>员工工伤工亡</w:t>
            </w:r>
            <w:r>
              <w:rPr>
                <w:rFonts w:ascii="仿宋_GB2312" w:hAnsi="仿宋_GB2312" w:cs="仿宋_GB2312" w:eastAsia="仿宋_GB2312"/>
                <w:sz w:val="24"/>
              </w:rPr>
              <w:t>舆论等处理。</w:t>
            </w:r>
          </w:p>
          <w:p>
            <w:pPr>
              <w:pStyle w:val="null3"/>
              <w:jc w:val="both"/>
            </w:pPr>
            <w:r>
              <w:rPr>
                <w:rFonts w:ascii="仿宋_GB2312" w:hAnsi="仿宋_GB2312" w:cs="仿宋_GB2312" w:eastAsia="仿宋_GB2312"/>
                <w:sz w:val="24"/>
              </w:rPr>
              <w:t>6.如因乙方及其派遣员工工作过错造成用工单位损失的，应由乙方进行相应赔偿。</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承担因派遣员工解约等其他原因需要支付的经济补偿全部费用。</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全面负责劳动纠纷时取证、出庭等工作，以及纠纷处理的全部费用。</w:t>
            </w:r>
          </w:p>
          <w:p>
            <w:pPr>
              <w:pStyle w:val="null3"/>
              <w:jc w:val="both"/>
            </w:pPr>
            <w:r>
              <w:rPr>
                <w:rFonts w:ascii="仿宋_GB2312" w:hAnsi="仿宋_GB2312" w:cs="仿宋_GB2312" w:eastAsia="仿宋_GB2312"/>
                <w:sz w:val="24"/>
              </w:rPr>
              <w:t>9.同意在不降低现有员工</w:t>
            </w:r>
            <w:r>
              <w:rPr>
                <w:rFonts w:ascii="仿宋_GB2312" w:hAnsi="仿宋_GB2312" w:cs="仿宋_GB2312" w:eastAsia="仿宋_GB2312"/>
                <w:sz w:val="24"/>
              </w:rPr>
              <w:t>的各类福利待遇的前提下，接收现有全部劳务派遣人员的劳动关系，配合办理各类转接手续。派遣服务协议到期时，不论员工合同是否到期，同意无条件配合办理人员交接手续，不得以任何理由阻挠后续工作的开展，并承担全部经济补偿（如有）。</w:t>
            </w:r>
          </w:p>
          <w:p>
            <w:pPr>
              <w:pStyle w:val="null3"/>
              <w:jc w:val="both"/>
            </w:pPr>
            <w:r>
              <w:rPr>
                <w:rFonts w:ascii="仿宋_GB2312" w:hAnsi="仿宋_GB2312" w:cs="仿宋_GB2312" w:eastAsia="仿宋_GB2312"/>
                <w:sz w:val="24"/>
              </w:rPr>
              <w:t>10.保守医院的秘密，不得向第三方透露与医院协议或其他事项中的相关事宜。</w:t>
            </w:r>
          </w:p>
          <w:p>
            <w:pPr>
              <w:pStyle w:val="null3"/>
              <w:jc w:val="both"/>
            </w:pPr>
            <w:r>
              <w:rPr>
                <w:rFonts w:ascii="仿宋_GB2312" w:hAnsi="仿宋_GB2312" w:cs="仿宋_GB2312" w:eastAsia="仿宋_GB2312"/>
                <w:sz w:val="24"/>
              </w:rPr>
              <w:t>（三）员工福利</w:t>
            </w:r>
          </w:p>
          <w:p>
            <w:pPr>
              <w:pStyle w:val="null3"/>
              <w:jc w:val="both"/>
            </w:pPr>
            <w:r>
              <w:rPr>
                <w:rFonts w:ascii="仿宋_GB2312" w:hAnsi="仿宋_GB2312" w:cs="仿宋_GB2312" w:eastAsia="仿宋_GB2312"/>
                <w:sz w:val="24"/>
              </w:rPr>
              <w:t>1.体检（一次/年）：每年给派遣员工提供1次的体检服务(体检标准300-500元/人）。</w:t>
            </w:r>
          </w:p>
          <w:p>
            <w:pPr>
              <w:pStyle w:val="null3"/>
              <w:jc w:val="both"/>
            </w:pPr>
            <w:r>
              <w:rPr>
                <w:rFonts w:ascii="仿宋_GB2312" w:hAnsi="仿宋_GB2312" w:cs="仿宋_GB2312" w:eastAsia="仿宋_GB2312"/>
                <w:sz w:val="24"/>
              </w:rPr>
              <w:t>2.节日福利：端</w:t>
            </w:r>
            <w:r>
              <w:rPr>
                <w:rFonts w:ascii="仿宋_GB2312" w:hAnsi="仿宋_GB2312" w:cs="仿宋_GB2312" w:eastAsia="仿宋_GB2312"/>
                <w:sz w:val="24"/>
              </w:rPr>
              <w:t>午节、中秋节、春节等。</w:t>
            </w:r>
          </w:p>
          <w:p>
            <w:pPr>
              <w:pStyle w:val="null3"/>
              <w:jc w:val="both"/>
            </w:pPr>
            <w:r>
              <w:rPr>
                <w:rFonts w:ascii="仿宋_GB2312" w:hAnsi="仿宋_GB2312" w:cs="仿宋_GB2312" w:eastAsia="仿宋_GB2312"/>
                <w:sz w:val="24"/>
              </w:rPr>
              <w:t>3.其他福利：护士节福利、员工团建等。</w:t>
            </w:r>
          </w:p>
          <w:p>
            <w:pPr>
              <w:pStyle w:val="null3"/>
              <w:jc w:val="both"/>
            </w:pPr>
            <w:r>
              <w:rPr>
                <w:rFonts w:ascii="仿宋_GB2312" w:hAnsi="仿宋_GB2312" w:cs="仿宋_GB2312" w:eastAsia="仿宋_GB2312"/>
                <w:sz w:val="24"/>
              </w:rPr>
              <w:t>（四）团队配备要求</w:t>
            </w:r>
          </w:p>
          <w:p>
            <w:pPr>
              <w:pStyle w:val="null3"/>
              <w:jc w:val="both"/>
            </w:pPr>
            <w:r>
              <w:rPr>
                <w:rFonts w:ascii="仿宋_GB2312" w:hAnsi="仿宋_GB2312" w:cs="仿宋_GB2312" w:eastAsia="仿宋_GB2312"/>
                <w:sz w:val="24"/>
              </w:rPr>
              <w:t>1.项目经理：负责统筹协调整个项目的运营、监管、决策和协调安排，必要时驻场管理。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驻场经理：协助项目经理进行项目的整体驻场管理。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招聘专员：负责项目人员的选聘、面试、体检等工作，满足甲方的需求。</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客服主管：负责项目的整体服务管理、监督及重大问题处理。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客服专员：负责项目人员信息录入、劳动合同签订、特殊人员商业保险办理，工资核算、日常问题处理、社保日常申报、待遇报销及社保政策咨询等。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财务专员：负责项目人员薪资核算、薪资发放、开具发票、个税申</w:t>
            </w:r>
            <w:r>
              <w:rPr>
                <w:rFonts w:ascii="仿宋_GB2312" w:hAnsi="仿宋_GB2312" w:cs="仿宋_GB2312" w:eastAsia="仿宋_GB2312"/>
                <w:sz w:val="24"/>
              </w:rPr>
              <w:t>报以及财务数据整理，</w:t>
            </w:r>
            <w:r>
              <w:rPr>
                <w:rFonts w:ascii="仿宋_GB2312" w:hAnsi="仿宋_GB2312" w:cs="仿宋_GB2312" w:eastAsia="仿宋_GB2312"/>
                <w:sz w:val="24"/>
              </w:rPr>
              <w:t>形成书面财务报告等。</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法务专员：负责项目日常法律咨询、合作协议及劳动合同的审核、劳务纠纷的</w:t>
            </w:r>
            <w:r>
              <w:rPr>
                <w:rFonts w:ascii="仿宋_GB2312" w:hAnsi="仿宋_GB2312" w:cs="仿宋_GB2312" w:eastAsia="仿宋_GB2312"/>
                <w:sz w:val="24"/>
              </w:rPr>
              <w:t>处理等，根据项目需求，提供专业法律支撑。</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行政专员：负责项目的后勤支撑及其它商务辅助。</w:t>
            </w:r>
          </w:p>
          <w:p>
            <w:pPr>
              <w:pStyle w:val="null3"/>
              <w:jc w:val="both"/>
            </w:pPr>
            <w:r>
              <w:rPr>
                <w:rFonts w:ascii="仿宋_GB2312" w:hAnsi="仿宋_GB2312" w:cs="仿宋_GB2312" w:eastAsia="仿宋_GB2312"/>
                <w:sz w:val="24"/>
              </w:rPr>
              <w:t>9.人力专员：负责人员管理等工作。</w:t>
            </w:r>
          </w:p>
          <w:p>
            <w:pPr>
              <w:pStyle w:val="null3"/>
              <w:jc w:val="both"/>
            </w:pPr>
            <w:r>
              <w:rPr>
                <w:rFonts w:ascii="仿宋_GB2312" w:hAnsi="仿宋_GB2312" w:cs="仿宋_GB2312" w:eastAsia="仿宋_GB2312"/>
                <w:sz w:val="24"/>
              </w:rPr>
              <w:t>（五）党团关系建设要求</w:t>
            </w:r>
          </w:p>
          <w:p>
            <w:pPr>
              <w:pStyle w:val="null3"/>
              <w:jc w:val="both"/>
            </w:pPr>
            <w:r>
              <w:rPr>
                <w:rFonts w:ascii="仿宋_GB2312" w:hAnsi="仿宋_GB2312" w:cs="仿宋_GB2312" w:eastAsia="仿宋_GB2312"/>
                <w:sz w:val="24"/>
              </w:rPr>
              <w:t>1.接转党团组织关系：根据单位及员工需求办理员工党组织关系的接转手续。</w:t>
            </w:r>
          </w:p>
          <w:p>
            <w:pPr>
              <w:pStyle w:val="null3"/>
              <w:jc w:val="both"/>
            </w:pPr>
            <w:r>
              <w:rPr>
                <w:rFonts w:ascii="仿宋_GB2312" w:hAnsi="仿宋_GB2312" w:cs="仿宋_GB2312" w:eastAsia="仿宋_GB2312"/>
                <w:sz w:val="24"/>
              </w:rPr>
              <w:t>2.党员的教育管理：做好党员</w:t>
            </w:r>
            <w:r>
              <w:rPr>
                <w:rFonts w:ascii="仿宋_GB2312" w:hAnsi="仿宋_GB2312" w:cs="仿宋_GB2312" w:eastAsia="仿宋_GB2312"/>
                <w:sz w:val="24"/>
              </w:rPr>
              <w:t>的教育管理、维护党员权利、对党员进行激励关怀。</w:t>
            </w:r>
          </w:p>
          <w:p>
            <w:pPr>
              <w:pStyle w:val="null3"/>
              <w:jc w:val="both"/>
            </w:pPr>
            <w:r>
              <w:rPr>
                <w:rFonts w:ascii="仿宋_GB2312" w:hAnsi="仿宋_GB2312" w:cs="仿宋_GB2312" w:eastAsia="仿宋_GB2312"/>
                <w:sz w:val="24"/>
              </w:rPr>
              <w:t>3.党员学习：组织党员学习，开展主题党日活动（包括举办文体活动、参观教育基地等多种形式）。</w:t>
            </w:r>
          </w:p>
          <w:p>
            <w:pPr>
              <w:pStyle w:val="null3"/>
              <w:jc w:val="left"/>
            </w:pPr>
            <w:r>
              <w:rPr>
                <w:rFonts w:ascii="仿宋_GB2312" w:hAnsi="仿宋_GB2312" w:cs="仿宋_GB2312" w:eastAsia="仿宋_GB2312"/>
                <w:sz w:val="24"/>
              </w:rPr>
              <w:t>三、项目商务要求：</w:t>
            </w:r>
          </w:p>
          <w:p>
            <w:pPr>
              <w:pStyle w:val="null3"/>
              <w:jc w:val="both"/>
            </w:pPr>
            <w:r>
              <w:rPr>
                <w:rFonts w:ascii="仿宋_GB2312" w:hAnsi="仿宋_GB2312" w:cs="仿宋_GB2312" w:eastAsia="仿宋_GB2312"/>
                <w:sz w:val="24"/>
              </w:rPr>
              <w:t>1.定期提供收据、发票等收款依据。</w:t>
            </w:r>
          </w:p>
          <w:p>
            <w:pPr>
              <w:pStyle w:val="null3"/>
              <w:jc w:val="both"/>
            </w:pPr>
            <w:r>
              <w:rPr>
                <w:rFonts w:ascii="仿宋_GB2312" w:hAnsi="仿宋_GB2312" w:cs="仿宋_GB2312" w:eastAsia="仿宋_GB2312"/>
                <w:sz w:val="24"/>
              </w:rPr>
              <w:t>2.积极配合甲方及公检法等部门的工作、办理相关事宜，承担相应责任。</w:t>
            </w:r>
          </w:p>
          <w:p>
            <w:pPr>
              <w:pStyle w:val="null3"/>
              <w:jc w:val="both"/>
            </w:pPr>
            <w:r>
              <w:rPr>
                <w:rFonts w:ascii="仿宋_GB2312" w:hAnsi="仿宋_GB2312" w:cs="仿宋_GB2312" w:eastAsia="仿宋_GB2312"/>
                <w:sz w:val="24"/>
              </w:rPr>
              <w:t>3.保守医院的秘密，不得向第三方透露与医院协议或其他事项中的相关事宜。</w:t>
            </w:r>
          </w:p>
          <w:p>
            <w:pPr>
              <w:pStyle w:val="null3"/>
              <w:jc w:val="both"/>
            </w:pPr>
            <w:r>
              <w:rPr>
                <w:rFonts w:ascii="仿宋_GB2312" w:hAnsi="仿宋_GB2312" w:cs="仿宋_GB2312" w:eastAsia="仿宋_GB2312"/>
                <w:sz w:val="24"/>
              </w:rPr>
              <w:t>4.人员招聘需及时响应，如未能在期限内完成招聘任务，劳务费应予以相应的扣罚。</w:t>
            </w:r>
          </w:p>
          <w:p>
            <w:pPr>
              <w:pStyle w:val="null3"/>
              <w:jc w:val="left"/>
            </w:pPr>
            <w:r>
              <w:rPr>
                <w:rFonts w:ascii="仿宋_GB2312" w:hAnsi="仿宋_GB2312" w:cs="仿宋_GB2312" w:eastAsia="仿宋_GB2312"/>
                <w:sz w:val="24"/>
              </w:rPr>
              <w:t>四、</w:t>
            </w:r>
            <w:r>
              <w:rPr>
                <w:rFonts w:ascii="仿宋_GB2312" w:hAnsi="仿宋_GB2312" w:cs="仿宋_GB2312" w:eastAsia="仿宋_GB2312"/>
                <w:sz w:val="24"/>
              </w:rPr>
              <w:t>人员</w:t>
            </w:r>
            <w:r>
              <w:rPr>
                <w:rFonts w:ascii="仿宋_GB2312" w:hAnsi="仿宋_GB2312" w:cs="仿宋_GB2312" w:eastAsia="仿宋_GB2312"/>
                <w:sz w:val="24"/>
              </w:rPr>
              <w:t>情况及工资标准：</w:t>
            </w:r>
          </w:p>
          <w:p>
            <w:pPr>
              <w:pStyle w:val="null3"/>
              <w:jc w:val="both"/>
            </w:pPr>
            <w:r>
              <w:rPr>
                <w:rFonts w:ascii="仿宋_GB2312" w:hAnsi="仿宋_GB2312" w:cs="仿宋_GB2312" w:eastAsia="仿宋_GB2312"/>
                <w:sz w:val="24"/>
              </w:rPr>
              <w:t>总人数：</w:t>
            </w:r>
            <w:r>
              <w:rPr>
                <w:rFonts w:ascii="仿宋_GB2312" w:hAnsi="仿宋_GB2312" w:cs="仿宋_GB2312" w:eastAsia="仿宋_GB2312"/>
                <w:sz w:val="24"/>
              </w:rPr>
              <w:t>250-300人</w:t>
            </w:r>
            <w:r>
              <w:rPr>
                <w:rFonts w:ascii="仿宋_GB2312" w:hAnsi="仿宋_GB2312" w:cs="仿宋_GB2312" w:eastAsia="仿宋_GB2312"/>
                <w:sz w:val="24"/>
              </w:rPr>
              <w:t>（包含现</w:t>
            </w:r>
            <w:r>
              <w:rPr>
                <w:rFonts w:ascii="仿宋_GB2312" w:hAnsi="仿宋_GB2312" w:cs="仿宋_GB2312" w:eastAsia="仿宋_GB2312"/>
                <w:sz w:val="24"/>
              </w:rPr>
              <w:t>有人员</w:t>
            </w:r>
            <w:r>
              <w:rPr>
                <w:rFonts w:ascii="仿宋_GB2312" w:hAnsi="仿宋_GB2312" w:cs="仿宋_GB2312" w:eastAsia="仿宋_GB2312"/>
                <w:sz w:val="24"/>
              </w:rPr>
              <w:t>245人左右）。</w:t>
            </w:r>
          </w:p>
          <w:tbl>
            <w:tblPr>
              <w:tblInd w:type="dxa" w:w="90"/>
              <w:tblBorders>
                <w:top w:val="none" w:color="000000" w:sz="4"/>
                <w:left w:val="none" w:color="000000" w:sz="4"/>
                <w:bottom w:val="none" w:color="000000" w:sz="4"/>
                <w:right w:val="none" w:color="000000" w:sz="4"/>
                <w:insideH w:val="none"/>
                <w:insideV w:val="none"/>
              </w:tblBorders>
            </w:tblPr>
            <w:tblGrid>
              <w:gridCol w:w="472"/>
              <w:gridCol w:w="389"/>
              <w:gridCol w:w="416"/>
              <w:gridCol w:w="416"/>
              <w:gridCol w:w="416"/>
              <w:gridCol w:w="691"/>
            </w:tblGrid>
            <w:tr>
              <w:tc>
                <w:tcPr>
                  <w:tcW w:type="dxa" w:w="280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工资表</w:t>
                  </w:r>
                </w:p>
              </w:tc>
            </w:tr>
            <w:tr>
              <w:tc>
                <w:tcPr>
                  <w:tcW w:type="dxa" w:w="8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岗位</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基本工资</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津贴</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绩效工资</w:t>
                  </w:r>
                </w:p>
              </w:tc>
            </w:tr>
            <w:tr>
              <w:tc>
                <w:tcPr>
                  <w:tcW w:type="dxa" w:w="8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助理护士、门诊导医、窗口登记员</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1408</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1562</w:t>
                  </w:r>
                </w:p>
              </w:tc>
              <w:tc>
                <w:tcPr>
                  <w:tcW w:type="dxa" w:w="6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行政平均绩效的</w:t>
                  </w:r>
                  <w:r>
                    <w:rPr>
                      <w:rFonts w:ascii="仿宋_GB2312" w:hAnsi="仿宋_GB2312" w:cs="仿宋_GB2312" w:eastAsia="仿宋_GB2312"/>
                      <w:sz w:val="20"/>
                    </w:rPr>
                    <w:t>50%</w:t>
                  </w:r>
                </w:p>
              </w:tc>
            </w:tr>
            <w:tr>
              <w:tc>
                <w:tcPr>
                  <w:tcW w:type="dxa" w:w="86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会计员、档案管理员、实验室助理</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本科</w:t>
                  </w:r>
                  <w:r>
                    <w:rPr>
                      <w:rFonts w:ascii="仿宋_GB2312" w:hAnsi="仿宋_GB2312" w:cs="仿宋_GB2312" w:eastAsia="仿宋_GB2312"/>
                      <w:sz w:val="20"/>
                    </w:rPr>
                    <w:t>1310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1442</w:t>
                  </w:r>
                </w:p>
              </w:tc>
            </w:tr>
            <w:tr>
              <w:tc>
                <w:tcPr>
                  <w:tcW w:type="dxa" w:w="861"/>
                  <w:gridSpan w:val="2"/>
                  <w:vMerge/>
                  <w:tcBorders>
                    <w:top w:val="none" w:color="000000" w:sz="4"/>
                    <w:left w:val="single" w:color="000000" w:sz="4"/>
                    <w:bottom w:val="single" w:color="000000" w:sz="4"/>
                    <w:right w:val="single" w:color="000000" w:sz="4"/>
                  </w:tcBorders>
                </w:tcP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硕士</w:t>
                  </w:r>
                  <w:r>
                    <w:rPr>
                      <w:rFonts w:ascii="仿宋_GB2312" w:hAnsi="仿宋_GB2312" w:cs="仿宋_GB2312" w:eastAsia="仿宋_GB2312"/>
                      <w:sz w:val="20"/>
                    </w:rPr>
                    <w:t>1405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1537</w:t>
                  </w:r>
                </w:p>
              </w:tc>
            </w:tr>
            <w:tr>
              <w:tc>
                <w:tcPr>
                  <w:tcW w:type="dxa" w:w="8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眼镜验光员、皮肤科技师</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1134</w:t>
                  </w:r>
                </w:p>
              </w:tc>
              <w:tc>
                <w:tcPr>
                  <w:tcW w:type="dxa" w:w="69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科室二次分配</w:t>
                  </w:r>
                </w:p>
              </w:tc>
            </w:tr>
            <w:tr>
              <w:tc>
                <w:tcPr>
                  <w:tcW w:type="dxa" w:w="8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康复治疗师、中医推拿师</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1156</w:t>
                  </w:r>
                </w:p>
              </w:tc>
            </w:tr>
            <w:tr>
              <w:tc>
                <w:tcPr>
                  <w:tcW w:type="dxa" w:w="8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脑电图技师、心电图技师</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1486</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影像技师</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技士</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1178</w:t>
                  </w:r>
                </w:p>
              </w:tc>
              <w:tc>
                <w:tcPr>
                  <w:tcW w:type="dxa" w:w="6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科室二次分配</w:t>
                  </w:r>
                </w:p>
              </w:tc>
            </w:tr>
            <w:tr>
              <w:tc>
                <w:tcPr>
                  <w:tcW w:type="dxa" w:w="472"/>
                  <w:vMerge/>
                  <w:tcBorders>
                    <w:top w:val="none" w:color="000000" w:sz="4"/>
                    <w:left w:val="single" w:color="000000" w:sz="4"/>
                    <w:bottom w:val="single" w:color="000000" w:sz="4"/>
                    <w:right w:val="single" w:color="000000" w:sz="4"/>
                  </w:tcBorders>
                </w:tc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技师</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1063</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1261</w:t>
                  </w:r>
                </w:p>
              </w:tc>
              <w:tc>
                <w:tcPr>
                  <w:tcW w:type="dxa" w:w="691"/>
                  <w:vMerge/>
                  <w:tcBorders>
                    <w:top w:val="single" w:color="000000" w:sz="4"/>
                    <w:left w:val="none" w:color="000000" w:sz="4"/>
                    <w:bottom w:val="single" w:color="000000" w:sz="4"/>
                    <w:right w:val="single" w:color="000000" w:sz="4"/>
                  </w:tcBorders>
                </w:tcPr>
                <w:p/>
              </w:tc>
            </w:tr>
            <w:tr>
              <w:tc>
                <w:tcPr>
                  <w:tcW w:type="dxa" w:w="8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检验辅助</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1156</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临床平均奖的</w:t>
                  </w:r>
                  <w:r>
                    <w:rPr>
                      <w:rFonts w:ascii="仿宋_GB2312" w:hAnsi="仿宋_GB2312" w:cs="仿宋_GB2312" w:eastAsia="仿宋_GB2312"/>
                      <w:sz w:val="20"/>
                    </w:rPr>
                    <w:t>50%</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药剂师</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药士</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1134</w:t>
                  </w:r>
                </w:p>
              </w:tc>
              <w:tc>
                <w:tcPr>
                  <w:tcW w:type="dxa" w:w="6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临床平均奖的</w:t>
                  </w:r>
                  <w:r>
                    <w:rPr>
                      <w:rFonts w:ascii="仿宋_GB2312" w:hAnsi="仿宋_GB2312" w:cs="仿宋_GB2312" w:eastAsia="仿宋_GB2312"/>
                      <w:sz w:val="20"/>
                    </w:rPr>
                    <w:t>50%/</w:t>
                  </w:r>
                  <w:r>
                    <w:br/>
                  </w:r>
                  <w:r>
                    <w:rPr>
                      <w:rFonts w:ascii="仿宋_GB2312" w:hAnsi="仿宋_GB2312" w:cs="仿宋_GB2312" w:eastAsia="仿宋_GB2312"/>
                      <w:sz w:val="20"/>
                    </w:rPr>
                    <w:t>科室二次分配</w:t>
                  </w:r>
                </w:p>
              </w:tc>
            </w:tr>
            <w:tr>
              <w:tc>
                <w:tcPr>
                  <w:tcW w:type="dxa" w:w="472"/>
                  <w:vMerge/>
                  <w:tcBorders>
                    <w:top w:val="none" w:color="000000" w:sz="4"/>
                    <w:left w:val="single" w:color="000000" w:sz="4"/>
                    <w:bottom w:val="single" w:color="000000" w:sz="4"/>
                    <w:right w:val="single" w:color="000000" w:sz="4"/>
                  </w:tcBorders>
                </w:tc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药师</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1063</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1217</w:t>
                  </w:r>
                </w:p>
              </w:tc>
              <w:tc>
                <w:tcPr>
                  <w:tcW w:type="dxa" w:w="691"/>
                  <w:vMerge/>
                  <w:tcBorders>
                    <w:top w:val="single" w:color="000000" w:sz="4"/>
                    <w:left w:val="non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主管药师</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1335</w:t>
                  </w:r>
                </w:p>
              </w:tc>
              <w:tc>
                <w:tcPr>
                  <w:tcW w:type="dxa" w:w="691"/>
                  <w:vMerge/>
                  <w:tcBorders>
                    <w:top w:val="single" w:color="000000" w:sz="4"/>
                    <w:left w:val="none" w:color="000000" w:sz="4"/>
                    <w:bottom w:val="single" w:color="000000" w:sz="4"/>
                    <w:right w:val="single" w:color="000000" w:sz="4"/>
                  </w:tcBorders>
                </w:tcPr>
                <w:p/>
              </w:tc>
            </w:tr>
          </w:tbl>
          <w:tbl>
            <w:tblPr>
              <w:tblInd w:type="dxa" w:w="90"/>
              <w:tblBorders>
                <w:top w:val="none" w:color="000000" w:sz="4"/>
                <w:left w:val="none" w:color="000000" w:sz="4"/>
                <w:bottom w:val="none" w:color="000000" w:sz="4"/>
                <w:right w:val="none" w:color="000000" w:sz="4"/>
                <w:insideH w:val="none"/>
                <w:insideV w:val="none"/>
              </w:tblBorders>
            </w:tblPr>
            <w:tblGrid>
              <w:gridCol w:w="470"/>
              <w:gridCol w:w="387"/>
              <w:gridCol w:w="387"/>
              <w:gridCol w:w="387"/>
              <w:gridCol w:w="387"/>
              <w:gridCol w:w="387"/>
              <w:gridCol w:w="391"/>
            </w:tblGrid>
            <w:tr>
              <w:tc>
                <w:tcPr>
                  <w:tcW w:type="dxa" w:w="279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输电、变电、配电设备维修及电力设备安装、运行、检修人员</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技术等级</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普工</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初级工</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中级工</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高级工</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技师</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高级技师</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岗位工资</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838.00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1090.00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1982.00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2242.00</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考核工资</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1730.00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1908.00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2168.00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2558.00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2948.00</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津贴</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2532.00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2952.00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3372.00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4022.00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4672.00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5322.00</w:t>
                  </w:r>
                </w:p>
              </w:tc>
            </w:tr>
          </w:tbl>
          <w:tbl>
            <w:tblPr>
              <w:tblInd w:type="dxa" w:w="90"/>
              <w:tblBorders>
                <w:top w:val="none" w:color="000000" w:sz="4"/>
                <w:left w:val="none" w:color="000000" w:sz="4"/>
                <w:bottom w:val="none" w:color="000000" w:sz="4"/>
                <w:right w:val="none" w:color="000000" w:sz="4"/>
                <w:insideH w:val="none"/>
                <w:insideV w:val="none"/>
              </w:tblBorders>
            </w:tblPr>
            <w:tblGrid>
              <w:gridCol w:w="412"/>
              <w:gridCol w:w="341"/>
              <w:gridCol w:w="341"/>
              <w:gridCol w:w="341"/>
              <w:gridCol w:w="341"/>
              <w:gridCol w:w="341"/>
              <w:gridCol w:w="341"/>
              <w:gridCol w:w="346"/>
            </w:tblGrid>
            <w:tr>
              <w:tc>
                <w:tcPr>
                  <w:tcW w:type="dxa" w:w="2804"/>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超声报告员</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技术等级</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1档(1-3)</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2档(4-6)</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3档(7-9)</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4档(10-12)</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5档(13-15)</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6档(16-18)</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7档(19-21)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岗位工资</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1080.00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1440.00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1560.00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1680.00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考核工资</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4240.00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4320.00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4400.00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4480.00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4560.00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4640.00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4720.00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津贴</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5496.00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5696.00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5896.00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6096.00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6296.00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6496.00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6696.00</w:t>
                  </w:r>
                </w:p>
              </w:tc>
            </w:tr>
          </w:tbl>
          <w:tbl>
            <w:tblPr>
              <w:tblInd w:type="dxa" w:w="90"/>
              <w:tblBorders>
                <w:top w:val="none" w:color="000000" w:sz="4"/>
                <w:left w:val="none" w:color="000000" w:sz="4"/>
                <w:bottom w:val="none" w:color="000000" w:sz="4"/>
                <w:right w:val="none" w:color="000000" w:sz="4"/>
                <w:insideH w:val="none"/>
                <w:insideV w:val="none"/>
              </w:tblBorders>
            </w:tblPr>
            <w:tblGrid>
              <w:gridCol w:w="1061"/>
              <w:gridCol w:w="876"/>
              <w:gridCol w:w="876"/>
            </w:tblGrid>
            <w:tr>
              <w:tc>
                <w:tcPr>
                  <w:tcW w:type="dxa" w:w="281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司机</w:t>
                  </w:r>
                </w:p>
              </w:tc>
            </w:tr>
            <w:tr>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技术等级</w:t>
                  </w:r>
                </w:p>
              </w:tc>
              <w:tc>
                <w:tcPr>
                  <w:tcW w:type="dxa" w:w="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B照</w:t>
                  </w:r>
                </w:p>
              </w:tc>
              <w:tc>
                <w:tcPr>
                  <w:tcW w:type="dxa" w:w="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A照</w:t>
                  </w:r>
                </w:p>
              </w:tc>
            </w:tr>
            <w:tr>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岗位工资</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1800.00</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1920.00</w:t>
                  </w:r>
                </w:p>
              </w:tc>
            </w:tr>
            <w:tr>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考核工资</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2220.00</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2300.00</w:t>
                  </w:r>
                </w:p>
              </w:tc>
            </w:tr>
            <w:tr>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津贴</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r>
            <w:tr>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4152.00</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4352.00</w:t>
                  </w:r>
                </w:p>
              </w:tc>
            </w:tr>
          </w:tbl>
          <w:tbl>
            <w:tblPr>
              <w:tblInd w:type="dxa" w:w="90"/>
              <w:tblBorders>
                <w:top w:val="none" w:color="000000" w:sz="4"/>
                <w:left w:val="none" w:color="000000" w:sz="4"/>
                <w:bottom w:val="none" w:color="000000" w:sz="4"/>
                <w:right w:val="none" w:color="000000" w:sz="4"/>
                <w:insideH w:val="none"/>
                <w:insideV w:val="none"/>
              </w:tblBorders>
            </w:tblPr>
            <w:tblGrid>
              <w:gridCol w:w="213"/>
              <w:gridCol w:w="370"/>
              <w:gridCol w:w="379"/>
              <w:gridCol w:w="357"/>
              <w:gridCol w:w="374"/>
              <w:gridCol w:w="374"/>
              <w:gridCol w:w="374"/>
              <w:gridCol w:w="361"/>
            </w:tblGrid>
            <w:tr>
              <w:tc>
                <w:tcPr>
                  <w:tcW w:type="dxa" w:w="2802"/>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洗涤清洁、药品配送、园艺作物人员、医废处理人员</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技术等级</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1档</w:t>
                  </w:r>
                </w:p>
                <w:p>
                  <w:pPr>
                    <w:pStyle w:val="null3"/>
                    <w:jc w:val="center"/>
                  </w:pPr>
                  <w:r>
                    <w:rPr>
                      <w:rFonts w:ascii="仿宋_GB2312" w:hAnsi="仿宋_GB2312" w:cs="仿宋_GB2312" w:eastAsia="仿宋_GB2312"/>
                      <w:sz w:val="20"/>
                    </w:rPr>
                    <w:t>(1-3)</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2档</w:t>
                  </w:r>
                </w:p>
                <w:p>
                  <w:pPr>
                    <w:pStyle w:val="null3"/>
                    <w:jc w:val="center"/>
                  </w:pPr>
                  <w:r>
                    <w:rPr>
                      <w:rFonts w:ascii="仿宋_GB2312" w:hAnsi="仿宋_GB2312" w:cs="仿宋_GB2312" w:eastAsia="仿宋_GB2312"/>
                      <w:sz w:val="20"/>
                    </w:rPr>
                    <w:t>(4-6)</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3档</w:t>
                  </w:r>
                </w:p>
                <w:p>
                  <w:pPr>
                    <w:pStyle w:val="null3"/>
                    <w:jc w:val="center"/>
                  </w:pPr>
                  <w:r>
                    <w:rPr>
                      <w:rFonts w:ascii="仿宋_GB2312" w:hAnsi="仿宋_GB2312" w:cs="仿宋_GB2312" w:eastAsia="仿宋_GB2312"/>
                      <w:sz w:val="20"/>
                    </w:rPr>
                    <w:t>(7-9)</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4档（10年以上）</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5档(13-15)</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6档(16-18)</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7档(19-21)</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岗位工资</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735.00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895.00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1055.00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1215.00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1355.00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1495.00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1635.00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考核工资</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1510.00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1550.00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1590.00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1630.00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1690.00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1750.00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1810.00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津贴</w:t>
                  </w:r>
                  <w:r>
                    <w:rPr>
                      <w:rFonts w:ascii="仿宋_GB2312" w:hAnsi="仿宋_GB2312" w:cs="仿宋_GB2312" w:eastAsia="仿宋_GB2312"/>
                      <w:sz w:val="20"/>
                    </w:rPr>
                    <w:t>(医废/其他)</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198/132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198/132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198/132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198/132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w:t>
                  </w:r>
                  <w:r>
                    <w:rPr>
                      <w:rFonts w:ascii="仿宋_GB2312" w:hAnsi="仿宋_GB2312" w:cs="仿宋_GB2312" w:eastAsia="仿宋_GB2312"/>
                      <w:sz w:val="20"/>
                    </w:rPr>
                    <w:t>/132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198/132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198/132</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2443/2377</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2643/2577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2843/2777</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3043/2977</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3243/3177</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3443/3377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3643/3577</w:t>
                  </w:r>
                </w:p>
              </w:tc>
            </w:tr>
          </w:tbl>
          <w:tbl>
            <w:tblPr>
              <w:tblInd w:type="dxa" w:w="90"/>
              <w:tblBorders>
                <w:top w:val="none" w:color="000000" w:sz="4"/>
                <w:left w:val="none" w:color="000000" w:sz="4"/>
                <w:bottom w:val="none" w:color="000000" w:sz="4"/>
                <w:right w:val="none" w:color="000000" w:sz="4"/>
                <w:insideH w:val="none"/>
                <w:insideV w:val="none"/>
              </w:tblBorders>
            </w:tblPr>
            <w:tblGrid>
              <w:gridCol w:w="563"/>
              <w:gridCol w:w="563"/>
              <w:gridCol w:w="563"/>
              <w:gridCol w:w="563"/>
              <w:gridCol w:w="563"/>
            </w:tblGrid>
            <w:tr>
              <w:tc>
                <w:tcPr>
                  <w:tcW w:type="dxa" w:w="281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门卫、保安岗</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技术等级</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1档（1-4）</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2档（5-9）</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3档（10年以上）</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4档（班组长）</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岗位工资</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1440.00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1560.00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1680.00</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考核工资</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1900.00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1980.00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2060.00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2140.00</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津贴</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3352.00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3552.00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3752.00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3952.00</w:t>
                  </w:r>
                </w:p>
              </w:tc>
            </w:tr>
          </w:tbl>
          <w:tbl>
            <w:tblPr>
              <w:tblInd w:type="dxa" w:w="90"/>
              <w:tblBorders>
                <w:top w:val="none" w:color="000000" w:sz="4"/>
                <w:left w:val="none" w:color="000000" w:sz="4"/>
                <w:bottom w:val="none" w:color="000000" w:sz="4"/>
                <w:right w:val="none" w:color="000000" w:sz="4"/>
                <w:insideH w:val="none"/>
                <w:insideV w:val="none"/>
              </w:tblBorders>
            </w:tblPr>
            <w:tblGrid>
              <w:gridCol w:w="348"/>
              <w:gridCol w:w="335"/>
              <w:gridCol w:w="335"/>
              <w:gridCol w:w="335"/>
              <w:gridCol w:w="413"/>
              <w:gridCol w:w="357"/>
              <w:gridCol w:w="357"/>
              <w:gridCol w:w="318"/>
            </w:tblGrid>
            <w:tr>
              <w:tc>
                <w:tcPr>
                  <w:tcW w:type="dxa" w:w="2798"/>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管理员</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技术等级</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1档</w:t>
                  </w:r>
                </w:p>
                <w:p>
                  <w:pPr>
                    <w:pStyle w:val="null3"/>
                    <w:jc w:val="center"/>
                  </w:pPr>
                  <w:r>
                    <w:rPr>
                      <w:rFonts w:ascii="仿宋_GB2312" w:hAnsi="仿宋_GB2312" w:cs="仿宋_GB2312" w:eastAsia="仿宋_GB2312"/>
                      <w:sz w:val="20"/>
                    </w:rPr>
                    <w:t>(1-3)</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2档</w:t>
                  </w:r>
                </w:p>
                <w:p>
                  <w:pPr>
                    <w:pStyle w:val="null3"/>
                    <w:jc w:val="center"/>
                  </w:pPr>
                  <w:r>
                    <w:rPr>
                      <w:rFonts w:ascii="仿宋_GB2312" w:hAnsi="仿宋_GB2312" w:cs="仿宋_GB2312" w:eastAsia="仿宋_GB2312"/>
                      <w:sz w:val="20"/>
                    </w:rPr>
                    <w:t>(4-6)</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3档</w:t>
                  </w:r>
                </w:p>
                <w:p>
                  <w:pPr>
                    <w:pStyle w:val="null3"/>
                    <w:jc w:val="center"/>
                  </w:pPr>
                  <w:r>
                    <w:rPr>
                      <w:rFonts w:ascii="仿宋_GB2312" w:hAnsi="仿宋_GB2312" w:cs="仿宋_GB2312" w:eastAsia="仿宋_GB2312"/>
                      <w:sz w:val="20"/>
                    </w:rPr>
                    <w:t>(7-9)</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4档</w:t>
                  </w:r>
                </w:p>
                <w:p>
                  <w:pPr>
                    <w:pStyle w:val="null3"/>
                    <w:jc w:val="center"/>
                  </w:pPr>
                  <w:r>
                    <w:rPr>
                      <w:rFonts w:ascii="仿宋_GB2312" w:hAnsi="仿宋_GB2312" w:cs="仿宋_GB2312" w:eastAsia="仿宋_GB2312"/>
                      <w:sz w:val="20"/>
                    </w:rPr>
                    <w:t>(10以上)</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5档</w:t>
                  </w:r>
                </w:p>
                <w:p>
                  <w:pPr>
                    <w:pStyle w:val="null3"/>
                    <w:jc w:val="center"/>
                  </w:pPr>
                  <w:r>
                    <w:rPr>
                      <w:rFonts w:ascii="仿宋_GB2312" w:hAnsi="仿宋_GB2312" w:cs="仿宋_GB2312" w:eastAsia="仿宋_GB2312"/>
                      <w:sz w:val="20"/>
                    </w:rPr>
                    <w:t>(13-15)</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6档</w:t>
                  </w:r>
                </w:p>
                <w:p>
                  <w:pPr>
                    <w:pStyle w:val="null3"/>
                    <w:jc w:val="center"/>
                  </w:pPr>
                  <w:r>
                    <w:rPr>
                      <w:rFonts w:ascii="仿宋_GB2312" w:hAnsi="仿宋_GB2312" w:cs="仿宋_GB2312" w:eastAsia="仿宋_GB2312"/>
                      <w:sz w:val="20"/>
                    </w:rPr>
                    <w:t>(16-18)</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7档</w:t>
                  </w:r>
                </w:p>
                <w:p>
                  <w:pPr>
                    <w:pStyle w:val="null3"/>
                    <w:jc w:val="center"/>
                  </w:pPr>
                  <w:r>
                    <w:rPr>
                      <w:rFonts w:ascii="仿宋_GB2312" w:hAnsi="仿宋_GB2312" w:cs="仿宋_GB2312" w:eastAsia="仿宋_GB2312"/>
                      <w:sz w:val="20"/>
                    </w:rPr>
                    <w:t>(19-21)</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岗位工资</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795.00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855.00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915.00</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1015.00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1055.00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1095.00</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考核工资</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1510.00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1550.00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1590.00</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1630.00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1690.00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1750.00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1810.00</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津贴</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2437.00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2537.00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2637.00</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2737.00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2837.00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2937.00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3037.00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合同支付约定：</w:t>
            </w:r>
          </w:p>
          <w:p>
            <w:pPr>
              <w:pStyle w:val="null3"/>
              <w:jc w:val="left"/>
            </w:pPr>
            <w:r>
              <w:rPr>
                <w:rFonts w:ascii="仿宋_GB2312" w:hAnsi="仿宋_GB2312" w:cs="仿宋_GB2312" w:eastAsia="仿宋_GB2312"/>
                <w:sz w:val="24"/>
              </w:rPr>
              <w:t>1、甲方每月 5-10 日向乙方提供派遣员工上个月的工资、考勤和考核数据，由乙方核算费用明细表（包含：员工工资、社会保险费用、劳务派遣管理费等信息）报甲方审核确认；</w:t>
            </w:r>
          </w:p>
          <w:p>
            <w:pPr>
              <w:pStyle w:val="null3"/>
              <w:jc w:val="left"/>
            </w:pPr>
            <w:r>
              <w:rPr>
                <w:rFonts w:ascii="仿宋_GB2312" w:hAnsi="仿宋_GB2312" w:cs="仿宋_GB2312" w:eastAsia="仿宋_GB2312"/>
                <w:sz w:val="24"/>
              </w:rPr>
              <w:t>2、甲方确认无误并收到乙方开具的发票后于每月15-18 日通过银行转账方式付款给乙方；</w:t>
            </w:r>
          </w:p>
          <w:p>
            <w:pPr>
              <w:pStyle w:val="null3"/>
              <w:jc w:val="left"/>
            </w:pPr>
            <w:r>
              <w:rPr>
                <w:rFonts w:ascii="仿宋_GB2312" w:hAnsi="仿宋_GB2312" w:cs="仿宋_GB2312" w:eastAsia="仿宋_GB2312"/>
                <w:sz w:val="24"/>
              </w:rPr>
              <w:t>3、乙方收到款项后于2个工作日内将派遣员工工资发放到位；</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、遇到节假日或休息日顺延支付。</w:t>
            </w:r>
          </w:p>
          <w:p>
            <w:pPr>
              <w:pStyle w:val="null3"/>
              <w:jc w:val="both"/>
            </w:pPr>
            <w:r>
              <w:rPr>
                <w:rFonts w:ascii="仿宋_GB2312" w:hAnsi="仿宋_GB2312" w:cs="仿宋_GB2312" w:eastAsia="仿宋_GB2312"/>
                <w:sz w:val="24"/>
              </w:rPr>
              <w:t>注：因系统格式限制，合同支付约定以此处为准；付款条件说明中“支付合同总金额的100%”指每月实际支付金额。</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1、甲方每月 5-10 日向乙方提供派遣员工上个月的工资、考勤和考核数据，由乙方核算费用明细表（包含：员工工资、社会保险费用、劳务派遣管理费等信息）报甲方审核确认； 2、甲方确认无误并收到乙方开具的发票后于每月15-18 日通过银行转账方式付款给乙方； 3、乙方收到款项后于2个工作日内将派遣员工工资发放到位； 4、遇到节假日或休息日顺延支付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通知书发出后，中标人需提供投标文件正本壹套、副本贰套、电子版壹套（U盘一套）标明中标人名称且提供的投标文件纸质版与电子版必须与在陕西省政府采购网电子化交易系统上提交的电子投标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投标人提供承诺:本公司法人、出资人、参股人无招标方在职工作人员。如有不实，我方将无条件地退出本项目的采购活动。</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供应商须提供有效的《劳务派遣经营许可证》。</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标的清单 投标人承诺书 投标文件封面 投标人资格证明文件 监狱企业的证明文件 投标方案说明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投标文件按招标文件要求的报价货币及签字盖章</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标的清单 投标人承诺书 投标文件封面 投标人资格证明文件 监狱企业的证明文件 投标方案说明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偏差表 商务条款响应说明 开标一览表 投标函 中小企业声明函 残疾人福利性单位声明函 标的清单 投标人承诺书 投标文件封面 投标人资格证明文件 监狱企业的证明文件 投标方案说明</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投标人针对本项目服务内容提供详细完整、可行的整体实施方案。方案包括：①服务内容②服务方案③服务工作流程④服务质量保障措施⑤服务计划进度安排。 方案各项内容全面详细、阐述条理清晰、可操作性强，能有效保障本项目实施得20分，每有一项缺项扣4分，每有一项内容存在缺陷，扣2分。 备注：缺陷是指内容不合理、虽有内容但不完善、内容表述前后不一致、套用其他项目方案或与项目需求不匹配或其他不利于项目实施的等任意一种情形。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人员招聘方案</w:t>
            </w:r>
          </w:p>
        </w:tc>
        <w:tc>
          <w:tcPr>
            <w:tcW w:type="dxa" w:w="2492"/>
          </w:tcPr>
          <w:p>
            <w:pPr>
              <w:pStyle w:val="null3"/>
            </w:pPr>
            <w:r>
              <w:rPr>
                <w:rFonts w:ascii="仿宋_GB2312" w:hAnsi="仿宋_GB2312" w:cs="仿宋_GB2312" w:eastAsia="仿宋_GB2312"/>
              </w:rPr>
              <w:t>投标人针对本项目提供详细完整、可行的人员招聘方案。方案包括：①员工招募上岗②专业培养及素质教育③招聘时效性保障方案。 方案各项内容全面详细、阐述条理清晰、可操作性强，能有效保障本项目实施得9分，每有一项缺项扣3分，每有一项内容存在缺陷，扣1.5分。 备注：缺陷是指内容不合理、虽有内容但不完善、内容表述前后不一致、套用其他项目方案或与项目需求不匹配或其他不利于项目实施的等任意一种情形。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具有规范和完善的管理制度，包括：①派遣人员服务质量标准及体系，并承诺协助采购人制定岗位工作标准；②内控制度：问责机制、监督机制、自查制度；③人员管理制度：具有员工日常管理办法、奖惩措施、激励机制等。 方案各项内容全面详细、阐述条理清晰、可操作性强，能有效保障本项目实施得9分，每有一项缺项扣3分，每有一项内容存在缺陷，扣1.5分。 备注：缺陷是指内容不合理、虽有内容但不完善、内容表述前后不一致、套用其他项目方案或与项目需求不匹配或其他不利于项目实施的等任意一种情形。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投标人具有完善的档案资料管理和移交工作方案。方案包括：①档案资料管理方案②档案移交方案。 方案各项内容全面详细、阐述条理清晰、可操作性强，能有效保障本项目实施得6分，每有一项缺项扣3分，每有一项内容存在缺陷，扣1.5分。 备注：缺陷是指内容不合理、虽有内容但不完善、内容表述前后不一致、套用其他项目方案或与项目需求不匹配或其他不利于项目实施的等任意一种情形。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管理人员配备1</w:t>
            </w:r>
          </w:p>
        </w:tc>
        <w:tc>
          <w:tcPr>
            <w:tcW w:type="dxa" w:w="2492"/>
          </w:tcPr>
          <w:p>
            <w:pPr>
              <w:pStyle w:val="null3"/>
            </w:pPr>
            <w:r>
              <w:rPr>
                <w:rFonts w:ascii="仿宋_GB2312" w:hAnsi="仿宋_GB2312" w:cs="仿宋_GB2312" w:eastAsia="仿宋_GB2312"/>
              </w:rPr>
              <w:t>投标人针对本项目管理人员配备有具体方案。方案包括：①人员配备数量及清单②人员职责与分工明确③管理团队专业性及工作经验。 方案各项内容全面详细、阐述条理清晰、可操作性强，能有效保障本项目实施得9分，每有一项缺项扣3分，每有一项内容存在缺陷，扣1.5分。 备注：缺陷是指内容不合理、虽有内容但不完善、内容表述前后不一致、套用其他项目方案或与项目需求不匹配或其他不利于项目实施的等任意一种情形。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管理人员配备2</w:t>
            </w:r>
          </w:p>
        </w:tc>
        <w:tc>
          <w:tcPr>
            <w:tcW w:type="dxa" w:w="2492"/>
          </w:tcPr>
          <w:p>
            <w:pPr>
              <w:pStyle w:val="null3"/>
            </w:pPr>
            <w:r>
              <w:rPr>
                <w:rFonts w:ascii="仿宋_GB2312" w:hAnsi="仿宋_GB2312" w:cs="仿宋_GB2312" w:eastAsia="仿宋_GB2312"/>
              </w:rPr>
              <w:t>①驻场经理：具有近三年（2022年5月至今）类似项目工作经验，得1分； ②人力专员：具有人力资源专业相关职称或证书，包括但不限于经济师（人力资源专业）或人力资源管理师等，得1分； ③投标人具有专业的法务团队，提供相关证明材料，得1分。 注:以上内容须提供相关证明材料。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投标人针对本项目具有完善的保密措施及承诺，内容包括：①保密制度及措施②保密承诺。 方案各项内容全面详细、阐述条理清晰、可操作性强，能有效保障本项目实施得6分，每有一项缺项扣3分，每有一项内容存在缺陷，扣1.5分。 备注：缺陷是指内容不合理、虽有内容但不完善、内容表述前后不一致、套用其他项目方案或与项目需求不匹配或其他不利于项目实施的等任意一种情形。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根据本项目采购需求提供突发事件处理预案措施。应急预案包括：①争议纠纷处理应急方案②舆论处理，包含劳动纠纷、工伤工亡处理等③供应商根据自身过往业务经验设想可能遇见的其他紧急情形并针对此情形提出应对措施。 方案各项内容全面详细、阐述条理清晰、可操作性强，能有效保障本项目实施得6分，每有一项缺项扣2分，每有一项内容存在缺陷，扣1分。 备注：缺陷是指内容不合理、虽有内容但不完善、内容表述前后不一致、套用其他项目方案或与项目需求不匹配或其他不利于项目实施的等任意一种情形。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有利于项目实施的方案及承诺。包括：①现有人员接收方案及承诺；②派遣员工重病、重疾的慰问和关怀方案及承诺；③派遣员工因公/非因公死亡的后续事宜处理以及全部的经济赔偿方案及承诺；④派遣员工劳动纠纷及工伤意外风险等处理方案及承诺；⑤承担因派遣员工解约等其他原因需要支付的经济补偿全部费用方案及承诺；⑥项目实施过程及后续的工作程序中与采购人积极配合的方案及承诺。 方案及承诺各项内容全面详细、阐述条理清晰、可操作性强，能有效保障本项目实施得12分，每有一项缺项扣2分，每有一项内容存在缺陷，扣1分。 备注：缺陷是指内容不合理、虽有内容但不完善、内容表述前后不一致、套用其他项目方案或与项目需求不匹配或其他不利于项目实施的等任意一种情形。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投标人须提供2022年5月至今类似项目业绩（以合同签订日期为准），每提供一份计2分，满分10分。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投标报价即管理费费率，价格分统一采用低价优先法计算，即满足招标文件要求且投标价格最低的管理费费率为评标基准价，其价格分为满分。其他投标人的价格分统一按照下列公式计算：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注：（1）根据《关于进一步加大政府采购支持中小企业力度的通知》财库〔2022〕19号的相关规定，对小型和微型企业的价格给予10%的扣除，用扣除后的价格参与评审。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