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版本号：0617-2521FZ118520250526001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秦岭北缘断层（西安段）补充探查项目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0617-2521FZ1185</w:t>
      </w:r>
      <w:r>
        <w:br/>
      </w:r>
      <w:r>
        <w:br/>
      </w:r>
      <w:r>
        <w:br/>
      </w:r>
    </w:p>
    <w:p>
      <w:pPr>
        <w:pStyle w:val="null3"/>
        <w:jc w:val="center"/>
        <w:outlineLvl w:val="2"/>
      </w:pPr>
      <w:r>
        <w:rPr>
          <w:rFonts w:ascii="仿宋_GB2312" w:hAnsi="仿宋_GB2312" w:cs="仿宋_GB2312" w:eastAsia="仿宋_GB2312"/>
          <w:sz w:val="28"/>
          <w:b/>
        </w:rPr>
        <w:t>西安市地震局（本级）</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西安市地震局（本级）</w:t>
      </w:r>
      <w:r>
        <w:rPr>
          <w:rFonts w:ascii="仿宋_GB2312" w:hAnsi="仿宋_GB2312" w:cs="仿宋_GB2312" w:eastAsia="仿宋_GB2312"/>
        </w:rPr>
        <w:t>委托，拟对</w:t>
      </w:r>
      <w:r>
        <w:rPr>
          <w:rFonts w:ascii="仿宋_GB2312" w:hAnsi="仿宋_GB2312" w:cs="仿宋_GB2312" w:eastAsia="仿宋_GB2312"/>
        </w:rPr>
        <w:t>秦岭北缘断层（西安段）补充探查项目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0617-2521FZ1185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秦岭北缘断层（西安段）补充探查项目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开展西安市主要活动断层探查与地震危险性评价项目Ⅲ期（秦岭北缘断裂（西安段）补充探查项目）工作，全面查清活动断裂空间展布及活动年代，利用最新资料编制断裂分布图；开展活动断裂地震危险性与危害性评价工作，评估发震能力与发震概率，预测地表破裂或强变形区域，提出避让建议，服务西安市土地规划利用和防震减灾工作，为中心城市建设提供地震安全保障。本项目计划分两年实施，2026年底前完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西安市地震局（本级）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陕西省西安市凤城八路109号市行政中心5号楼5层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西安市地震局（本级）经办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029-86788762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张婉迪 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采购包1：15,825,000.00元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收费标准向中标供应商收取。 2. 缴费时间:确定中标人后3日内，由中标人向招标代理机构一次付清招标代理服务费。 3. 银行信息:户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西安市地震局（本级）</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西安市地震局（本级）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西安市地震局（本级）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按照招标文件、投标文件及合同相关条款执行。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西安市主要活动断层探查与地震危险性评价项目Ⅲ期（秦岭北缘断裂（西安段）补充探查项目）工作，全面查清活动断裂空间展布及活动年代，利用最新资料编制断裂分布图；开展活动断裂地震危险性与危害性评价工作，评估发震能力与发震概率，预测地表破裂或强变形区域，提出避让建议，服务西安市土地规划利用和防震减灾工作，为中心城市建设提供地震安全保障。本项目计划分两年实施，2026年底前完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15,825,000.00</w:t>
      </w:r>
    </w:p>
    <w:p>
      <w:pPr>
        <w:pStyle w:val="null3"/>
      </w:pPr>
      <w:r>
        <w:rPr>
          <w:rFonts w:ascii="仿宋_GB2312" w:hAnsi="仿宋_GB2312" w:cs="仿宋_GB2312" w:eastAsia="仿宋_GB2312"/>
        </w:rPr>
        <w:t>采购包最高限价（元）: 15,825,000.00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秦岭北缘断层（西安段）补充探查项目（西安市主要活动断层探查与地震危险性评价项目Ⅲ期）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15,825,000.00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标的名称：秦岭北缘断层（西安段）补充探查项目（西安市主要活动断层探查与地震危险性评价项目Ⅲ期）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1、工作区域：根据秦岭北缘断裂走向和区域地震地质构造环境确定本次探测区域。探测范围应不小于秦岭北缘断裂（西安段）两侧各2-4公里。</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2、工作内容：西安市主要活动断层探查与地震危险性评价项目Ⅲ期（秦岭北缘断裂（西安段）补充探查项目）的工作内容主要有以下几个部分：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资料收集与目标断层初查。系统收集秦岭北缘断裂目标区内已有区域地质、地球物理、遥感和钻孔资料，开展目标区遥感解译与地质地貌调查不小于1000km2，初步查明秦岭北缘断裂（西安段）空间展布特征及活动性。</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深部地震构造环境分析与探测。在系统收集整理探测区深部地质与地球物理资料基础上，在渭河盆地实施1条深地震反射剖面（长度不少于74km、道间距为20-40m），总体贯穿西安市主要断层，综合分析地壳上地幔结构和构造特征，活动断层的深浅构造关系，研究探测区强震孕育的构造条件。</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活动断层详细探测与断层活动性鉴定。在秦岭北缘断裂（西安段）初查工作基础上，开展浅层地震勘探(不少于40km)、探槽（不少于3个）、路线地质调查、年代学测定等工作，修编1:50000秦岭北缘断裂（西安段）分布图，鉴定活动性。在重点规划区，开展1:10000地质路线调查（不少于86km）及年代学测定等工作，编制1:10000条带状活动断层分布图，服务重点规划区城市建设。</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地震危险性评价。在整理分析渭河断裂（西安段）、秦岭北缘断裂（西安段）活动性鉴定、深浅构造分析、中小地震精确定位、应力－应变环境分析等成果基础上，评价两条断裂的发震能力和未来一定时段（未来百年）发震概率，对地震危险性进行定量评价。（其中渭河断裂地震危险性评价所需数据资料由采购人负责提供）。</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地震危害性评价。在渭河断裂（西安段）和秦岭北缘断裂（西安段）地震危险性结果基础上，开展近断层宽频带强地震动数值预测，进行未来地震地表破裂带或强变形带预测，为西安市城市建设和国土空间规划提供科学避让的依据。（其中渭河断裂地震危害性评价所需数据资料由采购人负责提供）</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（6）数据库建设和成果集成。建立基于GIS平台的活动断层专业数据库和专题数据库，提交活动断层探测数据库刻盘成果和数据库说明书。编写项目专题及总报告，成果经验收通过。</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二、技术要求</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1、实施方案通过专家论证后方可施工，并作为验收的依据。</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资料收集及整理阶段。收集整理秦岭北缘断裂（西安段）目标区内的数字地形图、遥感影像、地震、地貌、地质、地球物理、钻孔、大地形变等方面的资料，开展基础地理信息的数字化处理及校正、高分辨率遥感数据处理与解译等工作。编制目标区1∶50000遥感解译图、目标区1:50000活动断裂分布草图等。</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野外实施阶段。开展深地震反射探测，浅层地震勘探、古地震槽探、活动断层的定位、活动断裂活动性调查等。编制地震勘探成果报告、1:50000秦岭北缘断裂（西安段）分布图、重点规划区目标断裂1:10000条带状分布图，活动断裂活动性鉴定报告等。</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4、成果验收交付阶段。编制专题报告和项目总报告，建设数据库。图件、数据格式须符合活动断层数据库入库格式要求。</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三、服务要求</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1、项目实施过程中，根据需要，服务商应在项目实施每个阶段开始时向甲方及甲方确定的监理单位提交实施计划，计划经监理单位审定后方可实施。</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2、服务商对项目实施中发现的历史地震遗迹做好痕迹留存和研究探查工作。</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3、项目工作方法和手段需满足项目任务书和合同有关规定的要求，符合相应的技术规程、规范、标准等。</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4、完成合同规定的野外工作量，采集数据真实可靠，野外施工档案资料齐全并通过野外验收。</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5、数据处理结果可靠、解释合理，项目成果通过专家验收。</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6、成果报告格式与内容符合相关规范要求。</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7、中标人应接受采购人委派的监理对探测工作野外施工的硬件设备、数据采集、数据处理以及技术报告进行全流程监理。</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8、中标人对项目实施过程中收集和产生的涉密资料，按照有关保密规定妥善管理。</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四、商务要求</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（一）服务期限：自合同签订之日起至2026年12月10日前完成项目验收。</w:t>
            </w:r>
          </w:p>
        </w:tc>
      </w:tr>
      <w:tr>
        <w:tc>
          <w:tcPr>
            <w:tcW w:type="dxa" w:w="2769"/>
          </w:tcPr>
          <w:p>
            <w:pPr>
              <w:pStyle w:val="null3"/>
            </w:pPr>
            <w:r>
              <w:rPr>
                <w:rFonts w:ascii="仿宋_GB2312" w:hAnsi="仿宋_GB2312" w:cs="仿宋_GB2312" w:eastAsia="仿宋_GB2312"/>
              </w:rPr>
              <w:t>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（二）款项结算：合同款分期支付。1.合同签订后15个工作日内，支付合同总价款的50%，如该金额超过2025年度预算拨付金额，按预算拨付金额支付，差额部分作为合同尾款支付。2. 2026年6月底前支付合同尾款的50%。3. 项目成果验收合格后支付剩余全部尾款。</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五、其他</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（一）进度要求：2026年12月10日前完成项目验收。</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（二）成果交付要求</w:t>
            </w:r>
          </w:p>
          <w:p>
            <w:pPr>
              <w:pStyle w:val="null3"/>
            </w:pPr>
            <w:r>
              <w:rPr>
                <w:rFonts w:ascii="仿宋_GB2312" w:hAnsi="仿宋_GB2312" w:cs="仿宋_GB2312" w:eastAsia="仿宋_GB2312"/>
              </w:rPr>
              <w:t>项目成果包括以下内容及按照《活动断层探测》（GB/T 36072-2018）标准规定应取得的所有成果。 （1）秦岭北缘断裂（西安段）补充探查报告； （2）深部地震构造环境分析与探测报告； （3）秦岭北缘断裂（西安段）浅层地震勘探成果报告； （4）1:50000秦岭北缘断裂（西安段）分布图及说明书； （5）1:10000秦岭北缘断裂（西安段）重点规划区条带状分布图及说明书； （6）渭河断裂（西安段）危险性与危害性评价报告； （7）秦岭北缘断裂（西安段）危险性与危害性评价报告； （8）相关专题数据库和总项目数据库。</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（三）质量验收标准或规范</w:t>
            </w:r>
          </w:p>
          <w:p>
            <w:pPr>
              <w:pStyle w:val="null3"/>
            </w:pPr>
            <w:r>
              <w:rPr>
                <w:rFonts w:ascii="仿宋_GB2312" w:hAnsi="仿宋_GB2312" w:cs="仿宋_GB2312" w:eastAsia="仿宋_GB2312"/>
              </w:rPr>
              <w:t>1.《城市活动断层探测工作大纲》（中震防发〔2014〕3号）；2.《城市活动断层探测管理办法》（中震防发〔2016〕39号）；3.《活动断层探测》（GB/T 36072-2018）；4.《活动断层探察 断错地貌测量》（DB/T 71-2018）；5.《活动断层探察 图形符号》（DB/T 72-2018）；6.《1:50000活动断层填图》（DB/T 53-2013）；7.《活动断层探察 遥感调查》（DB/T 69-2017）；8.《1:50000活动断层填图数据库规范》（DB/T 65-2016）；9.《活动断层探察 野外地质调查》（DB/T 82-2020）；10.《活动断层探察 数据库检测》（DB/T 83-2020）；11.《活动断层探察 古地震槽探》（DB/T 81-2020）；12.《活动断层探查 钻探》（DB/T 92-2022）；13.《活动断层探查 成果报告编写规则 第1部分：基本规定》（DB/T 93.1-2022）；14.《活动断层探查 成果报告编写规则 第2部分：项目总报告》（DB/T 93.2-2022）；15.《活动断层探查 成果报告编写规则 第3部分：专题工作报告》（DB/T 93.3-2024）16.《地震灾害预测及其信息管理系统技术规范》(GB/T 19428-2014)；17.《工程地质钻探规程》（DZ/T 0017-1991）；18.《浅层地震勘查技术规范》（DZ/T 0170-2020）；19.《陆上二维地震勘探资料采集技术规范》(SY/T 5330-2003)；20.《城市工程地球物理探测规范》（CJJ7-2007，中华人民共和国建设部，2007）。</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详见本章3.2服务内容及服务要求。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详见本章3.2服务内容及服务要求。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自合同签订之日起至2026年12月10日前完成项目验收。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由采购单位根据合同要求进行验收。必须满足采购方的各项技术指标要求，验收完成后，出具验收书，以便结算。</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合同款分期支付，合同签订后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因系统的设置原因，本章 3.3.4 支付方式，3.3.5 支付约定与 3.2.2 服务要求中四、商务要求（二）款项结算内容不一致的，以 3.2.2 服务要求中四、商务要求（二）款项结算内容为准。即：合同款分期支付。1.合同签订后 15 个工作日内，支付合同总价款的 50%，如该金额超过 2025 年度预算拨付金额，按预算拨付金额支付，差额部分作为合同尾款支付。2. 2026年 6 月底前支付合同尾款的 50%。3. 项目成果验收合格后支付剩余全部尾款。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1、具有独立承担民事责任的能力。提供注册登记凭证（营业执照、其他组织经营的合法凭证，自然人的提供身份证明文件），供应商需在项目电子化交易系统中按要求上传相应证明文件并进行电子签章。 2、具有良好的商业信誉和健全的财务会计制度。提供经审计的2023年度或2024年度财务报告（包括四表一注，即资产负债表、利润表、现金流量表、所有者权益变动表及其附注）；事业法人提供部门决算报告；/或在开标日期前六个月内其开户银行出具的资信证明；/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 3、具有履行合同所必需的设备和专业技术能力。提供声明文件，供应商需在项目电子化交易系统中按要求上传相应证明文件并进行电子签章。 4、具有依法缴纳税收的良好记录。提供缴费所属日期为投标截止时间前6个月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供应商需在项目电子化交易系统中按要求上传相应证明文件并进行电子签章。 5、具有依法缴纳社会保障资金的良好记录。提供缴费所属日期为投标截止时间前6个月内任一月份（投标截止时间当月不计入）的缴费凭据或社保机关出具的缴费证明/在法规范围内不需提供的应出具书面说明和证明文件；/或具有依法缴纳社会保障资金的缴纳记录的诚信声明；以上三种形式的资料提供任何一种即可，供应商需在项目电子化交易系统中按要求上传相应证明文件并进行电子签章。 6、参加政府采购活动前3年内在经营活动中没有重大违法记录的书面声明。提供书面声明，供应商需在项目电子化交易系统中按要求上传相应证明文件并进行电子签章。 7、法定代表人授权委托书（被授权代表参加）或法定代表人证明书（法定代表人直接参加），供应商需在项目电子化交易系统中按要求上传相应证明文件并进行电子签章。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 投标报价有效期是否符合招标文件的要求； 投标文件内容是否符合国家法律法规。</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详细评审88.00分</w:t>
            </w:r>
          </w:p>
          <w:p>
            <w:pPr>
              <w:pStyle w:val="null3"/>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项目总体状况响应及技术方案</w:t>
            </w:r>
          </w:p>
        </w:tc>
        <w:tc>
          <w:tcPr>
            <w:tcW w:type="dxa" w:w="2492"/>
          </w:tcPr>
          <w:p>
            <w:pPr>
              <w:pStyle w:val="null3"/>
            </w:pPr>
            <w:r>
              <w:rPr>
                <w:rFonts w:ascii="仿宋_GB2312" w:hAnsi="仿宋_GB2312" w:cs="仿宋_GB2312" w:eastAsia="仿宋_GB2312"/>
              </w:rPr>
              <w:t>在充分理解采购需求的基础上，对采购需求有详细的响应，采取措施具体、有效，采用了能保证安全、提高质量的措施；施工难点及认识清楚；施工段划分呼应总体表述，划分清晰，符合规范要求。整体方案内容完整齐全，对采购需求完全响应，表述分析合理的得15-20分（不含15分）；整体方案内容较完整齐全，对采购需求高度响应，表述分析较合理的得10-15 分（不含10分）；整体方案内容一般，对采购需求响应程度一般，表述分析一般的得1-10分，不提供不得分。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项目质量保障措施</w:t>
            </w:r>
          </w:p>
        </w:tc>
        <w:tc>
          <w:tcPr>
            <w:tcW w:type="dxa" w:w="2492"/>
          </w:tcPr>
          <w:p>
            <w:pPr>
              <w:pStyle w:val="null3"/>
            </w:pPr>
            <w:r>
              <w:rPr>
                <w:rFonts w:ascii="仿宋_GB2312" w:hAnsi="仿宋_GB2312" w:cs="仿宋_GB2312" w:eastAsia="仿宋_GB2312"/>
              </w:rPr>
              <w:t>对质量保证措施有深入的表述，对重点、难点分析到位并有合理的建议，质量保证切实可行，措施得力，得 5-8分（不含5分）；对质量保证措施有较好的表述，对重点、难点分析到位并有较合理的建议，质量保证较好，措施较得力，得2-5分（不含2分）；对质量保证措施表述一般，对重点、难点分析，质量保证措施一般，得 1-2分；不提供的不得分。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时间保障措施</w:t>
            </w:r>
          </w:p>
        </w:tc>
        <w:tc>
          <w:tcPr>
            <w:tcW w:type="dxa" w:w="2492"/>
          </w:tcPr>
          <w:p>
            <w:pPr>
              <w:pStyle w:val="null3"/>
            </w:pPr>
            <w:r>
              <w:rPr>
                <w:rFonts w:ascii="仿宋_GB2312" w:hAnsi="仿宋_GB2312" w:cs="仿宋_GB2312" w:eastAsia="仿宋_GB2312"/>
              </w:rPr>
              <w:t>关键节点清晰、准确、完整、计划编制合理、可行，控制措施有力、合理、可行，得 4-7分（不含4分）；关键节点清晰、准确、完整、计划编制较为合理、可行，控制措施较有力、合理、可行，得2-4分（不含2分）； 关键节点、计划编制一般，控制措施一般，得1-2 分；不提供的不得分。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针对项目实际情况，有先进、具体、完整、可行的实施措施，采用规范正确、清晰，得 4-7分（不含4分）；针对项目实际情况，采用规范正确，有较好可行的实施措施，得2-4分（不含2分）；针对项目实际情况，安全保证措施一般的，得1-2分；不提供的不得分。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 （负责人）</w:t>
            </w:r>
          </w:p>
        </w:tc>
        <w:tc>
          <w:tcPr>
            <w:tcW w:type="dxa" w:w="2492"/>
          </w:tcPr>
          <w:p>
            <w:pPr>
              <w:pStyle w:val="null3"/>
            </w:pPr>
            <w:r>
              <w:rPr>
                <w:rFonts w:ascii="仿宋_GB2312" w:hAnsi="仿宋_GB2312" w:cs="仿宋_GB2312" w:eastAsia="仿宋_GB2312"/>
              </w:rPr>
              <w:t>项目或技术负责人具有高级职称（专业为地球物理或地震），得2分。 项目或技术负责人承担过地震、地质类相关项目3 个及以上项目得10 分，2 个项目得 6 分，一个项目得 3 分； 注：若提供的证明材料不能体现项目人员的，需提供相关单位出具的加盖公章的证明。</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 （项目组人员）</w:t>
            </w:r>
          </w:p>
        </w:tc>
        <w:tc>
          <w:tcPr>
            <w:tcW w:type="dxa" w:w="2492"/>
          </w:tcPr>
          <w:p>
            <w:pPr>
              <w:pStyle w:val="null3"/>
            </w:pPr>
            <w:r>
              <w:rPr>
                <w:rFonts w:ascii="仿宋_GB2312" w:hAnsi="仿宋_GB2312" w:cs="仿宋_GB2312" w:eastAsia="仿宋_GB2312"/>
              </w:rPr>
              <w:t>1、项目组成员中具有地球物理或地震高级职称的，每满足1人得3分。具有中级职称的，每满足1人得 2分；最多得15分。 2、项目组成员参与过地震、地质类相关研究课题，每提供一个得3分，最多得 9分。 注：若提供的证明材料不能体现项目人员的，需提供相关单位出具的加盖公章的证明。</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提供投标人近5年（2020年1月1日至今，以合同签订日期为准）相关项目业绩，1份业绩2分，本项最高得10分。 赋分依据：完整合同复印件（加盖公章）。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 其他投标人的价格分统一按照下列公式计算： 投标报价得分=(评标基准价／投标报价)×12。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