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版本号：PZZX-25-B01720250528001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定点医药机构核查及年度考核项目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PZZX-25-B017</w:t>
      </w:r>
      <w:r>
        <w:br/>
      </w:r>
      <w:r>
        <w:br/>
      </w:r>
      <w:r>
        <w:br/>
      </w:r>
    </w:p>
    <w:p>
      <w:pPr>
        <w:pStyle w:val="null3"/>
        <w:jc w:val="center"/>
        <w:outlineLvl w:val="2"/>
      </w:pPr>
      <w:r>
        <w:rPr>
          <w:rFonts w:ascii="仿宋_GB2312" w:hAnsi="仿宋_GB2312" w:cs="仿宋_GB2312" w:eastAsia="仿宋_GB2312"/>
          <w:sz w:val="28"/>
          <w:b/>
        </w:rPr>
        <w:t>西安市医疗保障经办服务中心</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西安市医疗保障经办服务中心</w:t>
      </w:r>
      <w:r>
        <w:rPr>
          <w:rFonts w:ascii="仿宋_GB2312" w:hAnsi="仿宋_GB2312" w:cs="仿宋_GB2312" w:eastAsia="仿宋_GB2312"/>
        </w:rPr>
        <w:t>委托，拟对</w:t>
      </w:r>
      <w:r>
        <w:rPr>
          <w:rFonts w:ascii="仿宋_GB2312" w:hAnsi="仿宋_GB2312" w:cs="仿宋_GB2312" w:eastAsia="仿宋_GB2312"/>
        </w:rPr>
        <w:t>定点医药机构核查及年度考核项目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PZZX-25-B017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定点医药机构核查及年度考核项目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采购第三方机构，通过信息技术支持、数据分析，聘请医药专家，充实监管力量，对市本级定点医药机构医保基金使用情况进行核查及年度考核，并为核查及年度考核工作顺利开展提供必要保障措施。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采购包1（定点医药机构核查及年度考核项目）：属于专门面向中小企业采购。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1、身份证明：供应商应授权合法的人员参加磋商全过程，法定代表人直接参加磋商的，须提供法定代表人身份证明；法定代表人授权他人参加磋商的， 须提供法定代表人授权委托书。</w:t>
      </w:r>
    </w:p>
    <w:p>
      <w:pPr>
        <w:pStyle w:val="null3"/>
      </w:pPr>
      <w:r>
        <w:rPr>
          <w:rFonts w:ascii="仿宋_GB2312" w:hAnsi="仿宋_GB2312" w:cs="仿宋_GB2312" w:eastAsia="仿宋_GB2312"/>
        </w:rPr>
        <w:t>2、非联合体声明：本项目不接受联合体磋商。</w:t>
      </w:r>
    </w:p>
    <w:p>
      <w:pPr>
        <w:pStyle w:val="null3"/>
      </w:pPr>
      <w:r>
        <w:rPr>
          <w:rFonts w:ascii="仿宋_GB2312" w:hAnsi="仿宋_GB2312" w:cs="仿宋_GB2312" w:eastAsia="仿宋_GB2312"/>
        </w:rPr>
        <w:t>3、信用查询：供应商不得为“信用中国”网站（www.creditchina.gov.cn ）中列入失信被执行人和重大税收违法案件当事人名单的供应商,不得为“中国政府采购网”（www.ccgp.gov.cn ）政府采购严重违法失信行为记录名单中被财政部门禁止参加政府采购活动的供应商；将网页截图附在响应文件中。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西安市医疗保障经办服务中心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西安市未央区明光路166号凯瑞大厦I座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029-87221338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刘会敏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18729399045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采购包1：557,100.00元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中标通知书时，须向采购代理机构支付招标代理服务费。招标代理服务费的收取参照《国家计委关于印发&lt;招标代理服务收费管理暂行办法&gt;的通知》（计价格【2002】1980号）和发改办价格【2003】857号以及发改价格【2011】534号文中规定的标准执行，由成交供应商向品智工程咨询有限公司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西安市医疗保障经办服务中心</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西安市医疗保障经办服务中心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西安市医疗保障经办服务中心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根据磋商文件要求、磋商响应文件及合同约定执行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联系人：刘会敏</w:t>
      </w:r>
    </w:p>
    <w:p>
      <w:pPr>
        <w:pStyle w:val="null3"/>
      </w:pPr>
      <w:r>
        <w:rPr>
          <w:rFonts w:ascii="仿宋_GB2312" w:hAnsi="仿宋_GB2312" w:cs="仿宋_GB2312" w:eastAsia="仿宋_GB2312"/>
        </w:rPr>
        <w:t>联系电话：18729399045</w:t>
      </w:r>
    </w:p>
    <w:p>
      <w:pPr>
        <w:pStyle w:val="null3"/>
      </w:pPr>
      <w:r>
        <w:rPr>
          <w:rFonts w:ascii="仿宋_GB2312" w:hAnsi="仿宋_GB2312" w:cs="仿宋_GB2312" w:eastAsia="仿宋_GB2312"/>
        </w:rPr>
        <w:t>地址：陕西省西安市经济技术开发区长和国际A座1502室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采购第三方机构，通过信息技术支持、数据分析，聘请医药专家，充实监管力量，对市本级定点医药机构医保基金使用情况进行核查及年度考核，并为核查及年度考核工作顺利开展提供必要保障措施。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557,100.00</w:t>
      </w:r>
    </w:p>
    <w:p>
      <w:pPr>
        <w:pStyle w:val="null3"/>
      </w:pPr>
      <w:r>
        <w:rPr>
          <w:rFonts w:ascii="仿宋_GB2312" w:hAnsi="仿宋_GB2312" w:cs="仿宋_GB2312" w:eastAsia="仿宋_GB2312"/>
        </w:rPr>
        <w:t>采购包最高限价（元）: 557,100.00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定点医药机构核查及年度考核经费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557,100.00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标的名称：定点医药机构核查及年度考核经费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一、服务内容</w:t>
            </w:r>
          </w:p>
          <w:p>
            <w:pPr>
              <w:pStyle w:val="null3"/>
              <w:jc w:val="both"/>
            </w:pPr>
            <w:r>
              <w:rPr>
                <w:rFonts w:ascii="仿宋_GB2312" w:hAnsi="仿宋_GB2312" w:cs="仿宋_GB2312" w:eastAsia="仿宋_GB2312"/>
              </w:rPr>
              <w:t>由西安市医疗保障经办服务中心统一组织和分工，第三方安排相关专业人员（主要为信息、医药、财务等专业人员）配合开展不少于</w:t>
            </w:r>
            <w:r>
              <w:rPr>
                <w:rFonts w:ascii="仿宋_GB2312" w:hAnsi="仿宋_GB2312" w:cs="仿宋_GB2312" w:eastAsia="仿宋_GB2312"/>
              </w:rPr>
              <w:t>100</w:t>
            </w:r>
            <w:r>
              <w:rPr>
                <w:rFonts w:ascii="仿宋_GB2312" w:hAnsi="仿宋_GB2312" w:cs="仿宋_GB2312" w:eastAsia="仿宋_GB2312"/>
              </w:rPr>
              <w:t>家次的医疗机构稽核，定点药店专项核查及信息化监管工作，为工作的顺利开展提供必要保障措施，并根据专项核查及信息化监管情况，配合西安市医疗保障经办服务中心完成相关报告撰写工作。</w:t>
            </w:r>
          </w:p>
          <w:p>
            <w:pPr>
              <w:pStyle w:val="null3"/>
              <w:jc w:val="both"/>
            </w:pPr>
            <w:r>
              <w:rPr>
                <w:rFonts w:ascii="仿宋_GB2312" w:hAnsi="仿宋_GB2312" w:cs="仿宋_GB2312" w:eastAsia="仿宋_GB2312"/>
              </w:rPr>
              <w:t>二、服务要求</w:t>
            </w:r>
          </w:p>
          <w:p>
            <w:pPr>
              <w:pStyle w:val="null3"/>
              <w:jc w:val="both"/>
            </w:pPr>
            <w:r>
              <w:rPr>
                <w:rFonts w:ascii="仿宋_GB2312" w:hAnsi="仿宋_GB2312" w:cs="仿宋_GB2312" w:eastAsia="仿宋_GB2312"/>
              </w:rPr>
              <w:t>（一）工作</w:t>
            </w:r>
            <w:r>
              <w:rPr>
                <w:rFonts w:ascii="仿宋_GB2312" w:hAnsi="仿宋_GB2312" w:cs="仿宋_GB2312" w:eastAsia="仿宋_GB2312"/>
              </w:rPr>
              <w:t>要求</w:t>
            </w:r>
          </w:p>
          <w:p>
            <w:pPr>
              <w:pStyle w:val="null3"/>
              <w:jc w:val="both"/>
            </w:pPr>
            <w:r>
              <w:rPr>
                <w:rFonts w:ascii="仿宋_GB2312" w:hAnsi="仿宋_GB2312" w:cs="仿宋_GB2312" w:eastAsia="仿宋_GB2312"/>
              </w:rPr>
              <w:t>1</w:t>
            </w:r>
            <w:r>
              <w:rPr>
                <w:rFonts w:ascii="仿宋_GB2312" w:hAnsi="仿宋_GB2312" w:cs="仿宋_GB2312" w:eastAsia="仿宋_GB2312"/>
              </w:rPr>
              <w:t>、定点医药机构稽核</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）第三方根据国家、省、市医保基金监管重点任务及工作要求，协助甲方对市本级定点医药机构医保基金使用情况开展数据分析、日常监管，进行医保基金稽核。</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）第三方协助甲方稽核定点医药机构不少于</w:t>
            </w:r>
            <w:r>
              <w:rPr>
                <w:rFonts w:ascii="仿宋_GB2312" w:hAnsi="仿宋_GB2312" w:cs="仿宋_GB2312" w:eastAsia="仿宋_GB2312"/>
              </w:rPr>
              <w:t>100</w:t>
            </w:r>
            <w:r>
              <w:rPr>
                <w:rFonts w:ascii="仿宋_GB2312" w:hAnsi="仿宋_GB2312" w:cs="仿宋_GB2312" w:eastAsia="仿宋_GB2312"/>
              </w:rPr>
              <w:t>家次，包括数据稽核和实地稽核。</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第三方在稽核工作过程中应依照检查方案和检查重点对定点医药机构进行检查，填写《西安市医疗保障检查记录》等稽核文书，并留存相应纸质、视频、音频等资料。检查记录等稽核文书应由被检查单位确认并加盖公章，纸质资料为复印件的由被检查单位核对后加盖公章。</w:t>
            </w:r>
          </w:p>
          <w:p>
            <w:pPr>
              <w:pStyle w:val="null3"/>
              <w:jc w:val="both"/>
            </w:pPr>
            <w:r>
              <w:rPr>
                <w:rFonts w:ascii="仿宋_GB2312" w:hAnsi="仿宋_GB2312" w:cs="仿宋_GB2312" w:eastAsia="仿宋_GB2312"/>
              </w:rPr>
              <w:t>2</w:t>
            </w:r>
            <w:r>
              <w:rPr>
                <w:rFonts w:ascii="仿宋_GB2312" w:hAnsi="仿宋_GB2312" w:cs="仿宋_GB2312" w:eastAsia="仿宋_GB2312"/>
              </w:rPr>
              <w:t>、定点医药机构年度考核</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）第三方根据省市文件要求，协助甲方对定点医药机构</w:t>
            </w:r>
            <w:r>
              <w:rPr>
                <w:rFonts w:ascii="仿宋_GB2312" w:hAnsi="仿宋_GB2312" w:cs="仿宋_GB2312" w:eastAsia="仿宋_GB2312"/>
              </w:rPr>
              <w:t>2025</w:t>
            </w:r>
            <w:r>
              <w:rPr>
                <w:rFonts w:ascii="仿宋_GB2312" w:hAnsi="仿宋_GB2312" w:cs="仿宋_GB2312" w:eastAsia="仿宋_GB2312"/>
              </w:rPr>
              <w:t>年度执行医保政策和履行服务协议情况进行考核。</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）第三方要确保充分发挥专业优势，在参与年度考核过程中切实注重数据分析和风险防控，对发现的各种问题，按甲方要求汇总成书面报告。</w:t>
            </w:r>
          </w:p>
          <w:p>
            <w:pPr>
              <w:pStyle w:val="null3"/>
              <w:jc w:val="both"/>
            </w:pPr>
            <w:r>
              <w:rPr>
                <w:rFonts w:ascii="仿宋_GB2312" w:hAnsi="仿宋_GB2312" w:cs="仿宋_GB2312" w:eastAsia="仿宋_GB2312"/>
              </w:rPr>
              <w:t>3</w:t>
            </w:r>
            <w:r>
              <w:rPr>
                <w:rFonts w:ascii="仿宋_GB2312" w:hAnsi="仿宋_GB2312" w:cs="仿宋_GB2312" w:eastAsia="仿宋_GB2312"/>
              </w:rPr>
              <w:t>、第三方应协助甲方追回违规使用医保基金，目标金额不低于</w:t>
            </w:r>
            <w:r>
              <w:rPr>
                <w:rFonts w:ascii="仿宋_GB2312" w:hAnsi="仿宋_GB2312" w:cs="仿宋_GB2312" w:eastAsia="仿宋_GB2312"/>
              </w:rPr>
              <w:t>500</w:t>
            </w:r>
            <w:r>
              <w:rPr>
                <w:rFonts w:ascii="仿宋_GB2312" w:hAnsi="仿宋_GB2312" w:cs="仿宋_GB2312" w:eastAsia="仿宋_GB2312"/>
              </w:rPr>
              <w:t>万元（不含定点医药机构被扣除的违约金和质量保证金）。</w:t>
            </w:r>
          </w:p>
          <w:p>
            <w:pPr>
              <w:pStyle w:val="null3"/>
              <w:jc w:val="both"/>
            </w:pPr>
            <w:r>
              <w:rPr>
                <w:rFonts w:ascii="仿宋_GB2312" w:hAnsi="仿宋_GB2312" w:cs="仿宋_GB2312" w:eastAsia="仿宋_GB2312"/>
              </w:rPr>
              <w:t>（二）人员要求</w:t>
            </w:r>
          </w:p>
          <w:p>
            <w:pPr>
              <w:pStyle w:val="null3"/>
              <w:jc w:val="both"/>
            </w:pPr>
            <w:r>
              <w:rPr>
                <w:rFonts w:ascii="仿宋_GB2312" w:hAnsi="仿宋_GB2312" w:cs="仿宋_GB2312" w:eastAsia="仿宋_GB2312"/>
              </w:rPr>
              <w:t>1.</w:t>
            </w:r>
            <w:r>
              <w:rPr>
                <w:rFonts w:ascii="仿宋_GB2312" w:hAnsi="仿宋_GB2312" w:cs="仿宋_GB2312" w:eastAsia="仿宋_GB2312"/>
              </w:rPr>
              <w:t>第三</w:t>
            </w:r>
            <w:r>
              <w:rPr>
                <w:rFonts w:ascii="仿宋_GB2312" w:hAnsi="仿宋_GB2312" w:cs="仿宋_GB2312" w:eastAsia="仿宋_GB2312"/>
              </w:rPr>
              <w:t>方人员应当具备以下条件并经</w:t>
            </w:r>
            <w:r>
              <w:rPr>
                <w:rFonts w:ascii="仿宋_GB2312" w:hAnsi="仿宋_GB2312" w:cs="仿宋_GB2312" w:eastAsia="仿宋_GB2312"/>
              </w:rPr>
              <w:t>采购人</w:t>
            </w:r>
            <w:r>
              <w:rPr>
                <w:rFonts w:ascii="仿宋_GB2312" w:hAnsi="仿宋_GB2312" w:cs="仿宋_GB2312" w:eastAsia="仿宋_GB2312"/>
              </w:rPr>
              <w:t>认可：</w:t>
            </w:r>
          </w:p>
          <w:p>
            <w:pPr>
              <w:pStyle w:val="null3"/>
              <w:jc w:val="both"/>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）具备从事相关工作所需的专业知识和能力，</w:t>
            </w:r>
            <w:r>
              <w:rPr>
                <w:rFonts w:ascii="仿宋_GB2312" w:hAnsi="仿宋_GB2312" w:cs="仿宋_GB2312" w:eastAsia="仿宋_GB2312"/>
              </w:rPr>
              <w:t>具有国家教育行政主管部门认可的本科及以上文化程度，具</w:t>
            </w:r>
            <w:r>
              <w:rPr>
                <w:rFonts w:ascii="仿宋_GB2312" w:hAnsi="仿宋_GB2312" w:cs="仿宋_GB2312" w:eastAsia="仿宋_GB2312"/>
              </w:rPr>
              <w:t>有医疗保障稽核检查等相关工作经验。</w:t>
            </w:r>
          </w:p>
          <w:p>
            <w:pPr>
              <w:pStyle w:val="null3"/>
              <w:jc w:val="both"/>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）医</w:t>
            </w:r>
            <w:r>
              <w:rPr>
                <w:rFonts w:ascii="仿宋_GB2312" w:hAnsi="仿宋_GB2312" w:cs="仿宋_GB2312" w:eastAsia="仿宋_GB2312"/>
              </w:rPr>
              <w:t>学</w:t>
            </w:r>
            <w:r>
              <w:rPr>
                <w:rFonts w:ascii="仿宋_GB2312" w:hAnsi="仿宋_GB2312" w:cs="仿宋_GB2312" w:eastAsia="仿宋_GB2312"/>
              </w:rPr>
              <w:t>人员</w:t>
            </w:r>
            <w:r>
              <w:rPr>
                <w:rFonts w:ascii="仿宋_GB2312" w:hAnsi="仿宋_GB2312" w:cs="仿宋_GB2312" w:eastAsia="仿宋_GB2312"/>
              </w:rPr>
              <w:t>应</w:t>
            </w:r>
            <w:r>
              <w:rPr>
                <w:rFonts w:ascii="仿宋_GB2312" w:hAnsi="仿宋_GB2312" w:cs="仿宋_GB2312" w:eastAsia="仿宋_GB2312"/>
              </w:rPr>
              <w:t>具备医学专业知识和能力，熟悉医保政策，具有对医</w:t>
            </w:r>
            <w:r>
              <w:rPr>
                <w:rFonts w:ascii="仿宋_GB2312" w:hAnsi="仿宋_GB2312" w:cs="仿宋_GB2312" w:eastAsia="仿宋_GB2312"/>
              </w:rPr>
              <w:t>药</w:t>
            </w:r>
            <w:r>
              <w:rPr>
                <w:rFonts w:ascii="仿宋_GB2312" w:hAnsi="仿宋_GB2312" w:cs="仿宋_GB2312" w:eastAsia="仿宋_GB2312"/>
              </w:rPr>
              <w:t>机构和医务人员违法违规</w:t>
            </w:r>
            <w:r>
              <w:rPr>
                <w:rFonts w:ascii="仿宋_GB2312" w:hAnsi="仿宋_GB2312" w:cs="仿宋_GB2312" w:eastAsia="仿宋_GB2312"/>
              </w:rPr>
              <w:t>等行为的检查</w:t>
            </w:r>
            <w:r>
              <w:rPr>
                <w:rFonts w:ascii="仿宋_GB2312" w:hAnsi="仿宋_GB2312" w:cs="仿宋_GB2312" w:eastAsia="仿宋_GB2312"/>
              </w:rPr>
              <w:t>工作经验。</w:t>
            </w:r>
          </w:p>
          <w:p>
            <w:pPr>
              <w:pStyle w:val="null3"/>
              <w:jc w:val="both"/>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）信息人员</w:t>
            </w:r>
            <w:r>
              <w:rPr>
                <w:rFonts w:ascii="仿宋_GB2312" w:hAnsi="仿宋_GB2312" w:cs="仿宋_GB2312" w:eastAsia="仿宋_GB2312"/>
              </w:rPr>
              <w:t>应</w:t>
            </w:r>
            <w:r>
              <w:rPr>
                <w:rFonts w:ascii="仿宋_GB2312" w:hAnsi="仿宋_GB2312" w:cs="仿宋_GB2312" w:eastAsia="仿宋_GB2312"/>
              </w:rPr>
              <w:t>具备计算机网络信息技术知识，具备医保智能监控等相关工作经验。</w:t>
            </w:r>
          </w:p>
          <w:p>
            <w:pPr>
              <w:pStyle w:val="null3"/>
              <w:jc w:val="both"/>
            </w:pPr>
            <w:r>
              <w:rPr>
                <w:rFonts w:ascii="仿宋_GB2312" w:hAnsi="仿宋_GB2312" w:cs="仿宋_GB2312" w:eastAsia="仿宋_GB2312"/>
              </w:rPr>
              <w:t>（</w:t>
            </w:r>
            <w:r>
              <w:rPr>
                <w:rFonts w:ascii="仿宋_GB2312" w:hAnsi="仿宋_GB2312" w:cs="仿宋_GB2312" w:eastAsia="仿宋_GB2312"/>
              </w:rPr>
              <w:t>四</w:t>
            </w:r>
            <w:r>
              <w:rPr>
                <w:rFonts w:ascii="仿宋_GB2312" w:hAnsi="仿宋_GB2312" w:cs="仿宋_GB2312" w:eastAsia="仿宋_GB2312"/>
              </w:rPr>
              <w:t>）</w:t>
            </w:r>
            <w:r>
              <w:rPr>
                <w:rFonts w:ascii="仿宋_GB2312" w:hAnsi="仿宋_GB2312" w:cs="仿宋_GB2312" w:eastAsia="仿宋_GB2312"/>
              </w:rPr>
              <w:t>财务人员应具备从事审计或会计专业工作的知识和能力。</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）道德良好，近</w:t>
            </w:r>
            <w:r>
              <w:rPr>
                <w:rFonts w:ascii="仿宋_GB2312" w:hAnsi="仿宋_GB2312" w:cs="仿宋_GB2312" w:eastAsia="仿宋_GB2312"/>
                <w:sz w:val="21"/>
              </w:rPr>
              <w:t>3</w:t>
            </w:r>
            <w:r>
              <w:rPr>
                <w:rFonts w:ascii="仿宋_GB2312" w:hAnsi="仿宋_GB2312" w:cs="仿宋_GB2312" w:eastAsia="仿宋_GB2312"/>
                <w:sz w:val="21"/>
              </w:rPr>
              <w:t>年来未被列入失信被执行人名单</w:t>
            </w:r>
            <w:r>
              <w:rPr>
                <w:rFonts w:ascii="仿宋_GB2312" w:hAnsi="仿宋_GB2312" w:cs="仿宋_GB2312" w:eastAsia="仿宋_GB2312"/>
                <w:sz w:val="21"/>
              </w:rPr>
              <w:t>、</w:t>
            </w:r>
            <w:r>
              <w:rPr>
                <w:rFonts w:ascii="仿宋_GB2312" w:hAnsi="仿宋_GB2312" w:cs="仿宋_GB2312" w:eastAsia="仿宋_GB2312"/>
                <w:sz w:val="21"/>
              </w:rPr>
              <w:t>未受到有关部门的处理处罚。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根据本项目具体情况有针对性的成立项目组，详细列明人员分工、人员名单（提供项目组织人员姓名、职务、 联系电话、本项目中担任角色）。</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根据磋商文件要求、磋商响应文件及合同约定执行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签订合同之日起7个工作日内完成项目小组成员的配备。乙方在甲方付款前均应向甲方开具合法有效的等额发票，并应符合甲方的要求。乙方未开具发票或开具发票不合格，甲方有权拒绝付款且不承担任何责任。甲方收到合规发票后启动付款流程，如因甲方付款审批程序导致的付款延迟，不视为甲方违约。在乙方人员设备全部到位的情况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乙方完成全部工作且验收无质量问题后，乙方在甲方付款前均应向甲方开具合法有效的等额发票，并应符合甲方的要求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因履行本协议双方发生争议的，应友好协商解决。解决不了的，向甲方当地仲裁委员会申请仲裁。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满足但不限于服务要求的所有内容。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1、供应商须为合法注册的法人、其他组织或者自然人，并具有独立承担民事责任的能力，提供统一社会信用代码的营业执照（或事业法人证、自然人身份证）等合法证明文件； 2、财务状况报告：提供 2024 年度经审计的完整有效的财务会计报告（成立时间至提交投标文件截止时间不足一年的可提供成立后任意时段的资产负债表）；或提供供应商基本存款账户信息及开标日期前三个月内其基本存款账户开户银行出具的资信证明：（二选一）； 3、社会保障资金缴纳证明：提供开标日期前一年已缴存的任意三个月的社会保障资金缴存单据或社保机构开具的社会保险参保缴费情况证明，依法不需要缴纳社会保障资金的单位应提供相关证明材料（加盖供应商公章）； 4、税收缴纳证明：提供开标日期前一年已缴纳的任意三个月的纳税证明或完税证明，依法免税的单位应提供相关证明材料（加盖供应商公章）； 5、供应商应出具参加政府采购活动前3年内在经营活动中没有重大违法记录的书面声明； 6、提供具有履行本项目合同所必需的设备和专业能力的承诺书。</w:t>
            </w:r>
          </w:p>
        </w:tc>
        <w:tc>
          <w:tcPr>
            <w:tcW w:type="dxa" w:w="1661"/>
          </w:tcPr>
          <w:p>
            <w:pPr>
              <w:pStyle w:val="null3"/>
            </w:pPr>
            <w:r>
              <w:rPr>
                <w:rFonts w:ascii="仿宋_GB2312" w:hAnsi="仿宋_GB2312" w:cs="仿宋_GB2312" w:eastAsia="仿宋_GB2312"/>
              </w:rPr>
              <w:t>供应商应提交的相关资格证明材料 响应函 参加政府采购活动前3年内，在经营活动中没有重大违法记录的书面声明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 2024 年度经审计的完整有效的财务会计报告（成立时间至提交投标文件截止时间不足一年的可提供成立后任意时段的资产负债表）；或提供供应商基本存款账户信息及开标日期前三个月内其基本存款账户开户银行出具的资信证明：（二选一）</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供应商应授权合法的人员参加磋商全过程，法定代表人直接参加磋商的，须提供法定代表人身份证明；法定代表人授权他人参加磋商的， 须提供法定代表人授权委托书。</w:t>
            </w:r>
          </w:p>
        </w:tc>
        <w:tc>
          <w:tcPr>
            <w:tcW w:type="dxa" w:w="1661"/>
          </w:tcPr>
          <w:p>
            <w:pPr>
              <w:pStyle w:val="null3"/>
            </w:pPr>
            <w:r>
              <w:rPr>
                <w:rFonts w:ascii="仿宋_GB2312" w:hAnsi="仿宋_GB2312" w:cs="仿宋_GB2312" w:eastAsia="仿宋_GB2312"/>
              </w:rPr>
              <w:t>法定代表人证明书和法定代表人授权书</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非联合体不分包磋商声明</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 ）中列入失信被执行人和重大税收违法案件当事人名单的供应商,不得为“中国政府采购网”（www.ccgp.gov.cn ）政府采购严重违法失信行为记录名单中被财政部门禁止参加政府采购活动的供应商；将网页截图附在响应文件中。</w:t>
            </w:r>
          </w:p>
        </w:tc>
        <w:tc>
          <w:tcPr>
            <w:tcW w:type="dxa" w:w="1661"/>
          </w:tcPr>
          <w:p>
            <w:pPr>
              <w:pStyle w:val="null3"/>
            </w:pPr>
            <w:r>
              <w:rPr>
                <w:rFonts w:ascii="仿宋_GB2312" w:hAnsi="仿宋_GB2312" w:cs="仿宋_GB2312" w:eastAsia="仿宋_GB2312"/>
              </w:rPr>
              <w:t>供应商信用记录书面声明函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磋商响应文件内容齐全、无遗漏且符合采购文件要求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供应商信用记录书面声明函 报价表 承诺书格式 响应文件封面 非联合体不分包磋商声明 法定代表人证明书和法定代表人授权书 残疾人福利性单位声明函 服务方案 合同条款及格式 标的清单 响应函 监狱企业的证明文件 参加政府采购活动前3年内，在经营活动中没有重大违法记录的书面声明</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响应文件中要求盖章签字的地方，均按照文件要求签字或盖章；供应商营业执照、财务、纳税、业绩等资格证明资料必须加盖公章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供应商信用记录书面声明函 报价表 承诺书格式 响应文件封面 非联合体不分包磋商声明 法定代表人证明书和法定代表人授权书 残疾人福利性单位声明函 服务方案 合同条款及格式 标的清单 响应函 监狱企业的证明文件 参加政府采购活动前3年内，在经营活动中没有重大违法记录的书面声明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管理制度及档案资料管理</w:t>
            </w:r>
          </w:p>
        </w:tc>
        <w:tc>
          <w:tcPr>
            <w:tcW w:type="dxa" w:w="2492"/>
          </w:tcPr>
          <w:p>
            <w:pPr>
              <w:pStyle w:val="null3"/>
            </w:pPr>
            <w:r>
              <w:rPr>
                <w:rFonts w:ascii="仿宋_GB2312" w:hAnsi="仿宋_GB2312" w:cs="仿宋_GB2312" w:eastAsia="仿宋_GB2312"/>
              </w:rPr>
              <w:t>对管理规章制度及档案资料管理完善程度、档案管理适用性进行综合比较。 管理规章制度及档案资料管理不够完善、适用性一般，计[0-3)分；管理规章制度及档案资料管理较完善、适用性较强，计[3-6)分；管理规章制度及档案资料管理完善、适用性强，与项目贴合性高，计[6-8]分。未描述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1、拟派项目经理须具有本科及以上学历和高级信息系统项目管理师或PMP资质证书，同时具有相关工作经验（提供一份业绩证明），全部满足计 5 分，不满足不得分；2、项目组团队人员配备需满足采购人要求，根据供应商项目组团队人员配备情况、职业资格、经验、从业年限等方面进行综合比较。人员配备不足、不合理、专业性不强，计[0-5)分；人员配备简单、基本满足采购需求，专业性较强，计[5-10)分；人员配备科学合理，完全可以满足采购需求，专业性强，计[10-15]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对供应商综合应用信息化技术手段、大数据服务能力、医疗保险费用线上线下风控实力进行综合比较，根据响应情况计，计[0-5]分；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根据采购需求，对供应商提供的售后服务承诺进行综合比较。 服务承诺不完整全面、合理性较差，计[0-3)分；服务承诺较完整、较全面、较合理可行，计[3-6)分；服务承诺完整、全面、合理可行，计[6-10]分；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对用户的采购需求进行全面分析，根据项目熟识程度及项目的理解情况进行综合比较。对项目需求、医疗保险的费用审核和监督现状的理解不能满足本项目要求，计[0-3)分；对项目需求、医疗保险的费用审核和监督现状的理解基本满足本项目要求，计[3-6)分；对项目需求、医疗保险的费用审核和监督现状的理解完全满足本项目要求，计[6-10]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根据采购人要求的稽核业务范围、内容、目标，对供应商针对本项目提供的服务方案进行综合比较。 服务方案内容的全面性、合理性及可行性较差，计[0-4)分；方案内容较全面、合理、可实施性较强，计[4-8)分；方案内容全面、合理、可实施性强、，与项目贴合性高，计[8-12]分。未描述不得分。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针对本项目中可能出现的突发事件供应商提供应急方案，根据应急处理能力和资源 调配能力进行综合比较应急方案不全面，不合理，不可行，计[0-3)分；应急方案较全面、较合理，较可行，计[3-6)分；应急方案较全面、合理，可行，计[6-10]分。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廉洁承诺及保密措施</w:t>
            </w:r>
          </w:p>
        </w:tc>
        <w:tc>
          <w:tcPr>
            <w:tcW w:type="dxa" w:w="2492"/>
          </w:tcPr>
          <w:p>
            <w:pPr>
              <w:pStyle w:val="null3"/>
            </w:pPr>
            <w:r>
              <w:rPr>
                <w:rFonts w:ascii="仿宋_GB2312" w:hAnsi="仿宋_GB2312" w:cs="仿宋_GB2312" w:eastAsia="仿宋_GB2312"/>
              </w:rPr>
              <w:t>供应商须提供详尽、可行的廉洁及保密承诺，并对在项目实施过程中涉及保密内容的工作做出切实可行的承诺及措施，根据响应情况综合评比,计[0-5]分；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供应商提供自2022年1月1日至今类似业绩（以合同为准），每提供一个合同得2分，最多得10分。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满足招标文件要求且投标价格最低的投标报价为评标基准价，其价格分为满分10分。其它供应商的价格分统一按照下列公式计算：投标报价得分=（评标基准价/投标报价）×价格分值。 满足政府采购政策的供应商，按照价格扣除10%后的价格参与评审。 注：评委会二分之一以上专家认为某投标报价有低于成本价嫌疑的，为无效报价。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详见附件：法定代表人证明书和法定代表人授权书</w:t>
      </w:r>
    </w:p>
    <w:p>
      <w:pPr>
        <w:pStyle w:val="null3"/>
        <w:ind w:firstLine="960"/>
      </w:pPr>
      <w:r>
        <w:rPr>
          <w:rFonts w:ascii="仿宋_GB2312" w:hAnsi="仿宋_GB2312" w:cs="仿宋_GB2312" w:eastAsia="仿宋_GB2312"/>
        </w:rPr>
        <w:t>详见附件：参加政府采购活动前3年内，在经营活动中没有重大违法记录的书面声明</w:t>
      </w:r>
    </w:p>
    <w:p>
      <w:pPr>
        <w:pStyle w:val="null3"/>
        <w:ind w:firstLine="960"/>
      </w:pPr>
      <w:r>
        <w:rPr>
          <w:rFonts w:ascii="仿宋_GB2312" w:hAnsi="仿宋_GB2312" w:cs="仿宋_GB2312" w:eastAsia="仿宋_GB2312"/>
        </w:rPr>
        <w:t>详见附件：承诺书格式</w:t>
      </w:r>
    </w:p>
    <w:p>
      <w:pPr>
        <w:pStyle w:val="null3"/>
        <w:ind w:firstLine="960"/>
      </w:pPr>
      <w:r>
        <w:rPr>
          <w:rFonts w:ascii="仿宋_GB2312" w:hAnsi="仿宋_GB2312" w:cs="仿宋_GB2312" w:eastAsia="仿宋_GB2312"/>
        </w:rPr>
        <w:t>详见附件：供应商信用记录书面声明函</w:t>
      </w:r>
    </w:p>
    <w:p>
      <w:pPr>
        <w:pStyle w:val="null3"/>
        <w:ind w:firstLine="960"/>
      </w:pPr>
      <w:r>
        <w:rPr>
          <w:rFonts w:ascii="仿宋_GB2312" w:hAnsi="仿宋_GB2312" w:cs="仿宋_GB2312" w:eastAsia="仿宋_GB2312"/>
        </w:rPr>
        <w:t>详见附件：非联合体不分包磋商声明</w:t>
      </w:r>
    </w:p>
    <w:p>
      <w:pPr>
        <w:pStyle w:val="null3"/>
        <w:ind w:firstLine="960"/>
      </w:pPr>
      <w:r>
        <w:rPr>
          <w:rFonts w:ascii="仿宋_GB2312" w:hAnsi="仿宋_GB2312" w:cs="仿宋_GB2312" w:eastAsia="仿宋_GB2312"/>
        </w:rPr>
        <w:t>详见附件：合同条款及格式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