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14B947">
      <w:pPr>
        <w:pStyle w:val="7"/>
        <w:jc w:val="center"/>
        <w:outlineLvl w:val="1"/>
        <w:rPr>
          <w:color w:val="auto"/>
        </w:rPr>
      </w:pPr>
      <w:r>
        <w:rPr>
          <w:rFonts w:ascii="仿宋_GB2312" w:hAnsi="仿宋_GB2312" w:eastAsia="仿宋_GB2312" w:cs="仿宋_GB2312"/>
          <w:b/>
          <w:color w:val="auto"/>
          <w:sz w:val="36"/>
        </w:rPr>
        <w:t>拟签订合同文本</w:t>
      </w:r>
    </w:p>
    <w:p w14:paraId="33FAB723">
      <w:pPr>
        <w:pStyle w:val="7"/>
        <w:rPr>
          <w:rStyle w:val="8"/>
          <w:rFonts w:hint="eastAsia"/>
          <w:color w:val="auto"/>
          <w:highlight w:val="none"/>
        </w:rPr>
      </w:pPr>
      <w:r>
        <w:rPr>
          <w:rFonts w:ascii="仿宋_GB2312" w:hAnsi="仿宋_GB2312" w:eastAsia="仿宋_GB2312" w:cs="仿宋_GB2312"/>
          <w:color w:val="auto"/>
        </w:rPr>
        <w:t>详见附件：2025政府采购合同模板.docx</w:t>
      </w:r>
      <w:bookmarkStart w:id="0" w:name="_Toc216513788"/>
      <w:bookmarkStart w:id="1" w:name="_Toc487900382"/>
    </w:p>
    <w:bookmarkEnd w:id="0"/>
    <w:bookmarkEnd w:id="1"/>
    <w:p w14:paraId="660F9F92">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甲</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方：西安市中心血站</w:t>
      </w:r>
    </w:p>
    <w:p w14:paraId="3DD64003">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乙</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方：</w:t>
      </w:r>
    </w:p>
    <w:p w14:paraId="743F25E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lang w:val="en-US"/>
        </w:rPr>
      </w:pPr>
      <w:r>
        <w:rPr>
          <w:rFonts w:hint="eastAsia" w:ascii="仿宋" w:hAnsi="仿宋" w:eastAsia="仿宋" w:cs="仿宋"/>
          <w:color w:val="auto"/>
          <w:sz w:val="24"/>
          <w:szCs w:val="24"/>
          <w:lang w:val="en-US" w:eastAsia="zh-CN"/>
        </w:rPr>
        <w:t>依据</w:t>
      </w:r>
      <w:r>
        <w:rPr>
          <w:rFonts w:hint="eastAsia" w:ascii="仿宋" w:hAnsi="仿宋" w:eastAsia="仿宋" w:cs="仿宋"/>
          <w:color w:val="auto"/>
          <w:sz w:val="24"/>
          <w:szCs w:val="24"/>
        </w:rPr>
        <w:t>《中华人民共和国政府采购法》、《中华人民共和国民法典》</w:t>
      </w:r>
      <w:r>
        <w:rPr>
          <w:rFonts w:hint="eastAsia" w:ascii="仿宋" w:hAnsi="仿宋" w:eastAsia="仿宋" w:cs="仿宋"/>
          <w:color w:val="auto"/>
          <w:sz w:val="24"/>
          <w:szCs w:val="24"/>
          <w:lang w:val="en-US" w:eastAsia="zh-CN"/>
        </w:rPr>
        <w:t>的规定，</w:t>
      </w:r>
      <w:r>
        <w:rPr>
          <w:rFonts w:hint="eastAsia" w:ascii="仿宋" w:hAnsi="仿宋" w:eastAsia="仿宋" w:cs="仿宋"/>
          <w:color w:val="auto"/>
          <w:sz w:val="24"/>
          <w:szCs w:val="24"/>
          <w:lang w:eastAsia="zh-CN"/>
        </w:rPr>
        <w:t>鉴证方按照政府采购程序就甲方所需组织</w:t>
      </w:r>
      <w:r>
        <w:rPr>
          <w:rFonts w:hint="eastAsia" w:ascii="仿宋" w:hAnsi="仿宋" w:eastAsia="仿宋" w:cs="仿宋"/>
          <w:color w:val="auto"/>
          <w:sz w:val="24"/>
          <w:szCs w:val="24"/>
          <w:lang w:eastAsia="zh-CN"/>
        </w:rPr>
        <w:t>采购工作</w:t>
      </w:r>
      <w:r>
        <w:rPr>
          <w:rFonts w:hint="eastAsia" w:ascii="仿宋" w:hAnsi="仿宋" w:eastAsia="仿宋" w:cs="仿宋"/>
          <w:color w:val="auto"/>
          <w:sz w:val="24"/>
          <w:szCs w:val="24"/>
          <w:lang w:eastAsia="zh-CN"/>
        </w:rPr>
        <w:t>，确定乙方为</w:t>
      </w:r>
      <w:r>
        <w:rPr>
          <w:rFonts w:hint="eastAsia" w:ascii="仿宋" w:hAnsi="仿宋" w:eastAsia="仿宋" w:cs="仿宋"/>
          <w:color w:val="auto"/>
          <w:sz w:val="24"/>
          <w:szCs w:val="24"/>
          <w:lang w:val="en-US" w:eastAsia="zh-CN"/>
        </w:rPr>
        <w:t>XXXXX</w:t>
      </w:r>
      <w:r>
        <w:rPr>
          <w:rFonts w:hint="eastAsia" w:ascii="仿宋" w:hAnsi="仿宋" w:eastAsia="仿宋" w:cs="仿宋"/>
          <w:color w:val="auto"/>
          <w:sz w:val="24"/>
          <w:szCs w:val="24"/>
          <w:lang w:val="en-US" w:eastAsia="zh-CN"/>
        </w:rPr>
        <w:t>项目（项目编号：</w:t>
      </w:r>
      <w:r>
        <w:rPr>
          <w:rFonts w:hint="eastAsia" w:ascii="仿宋" w:hAnsi="仿宋" w:eastAsia="仿宋" w:cs="仿宋"/>
          <w:color w:val="auto"/>
          <w:sz w:val="24"/>
          <w:szCs w:val="24"/>
          <w:lang w:val="en-US" w:eastAsia="zh-CN"/>
        </w:rPr>
        <w:t>XXXXXXXXXX</w:t>
      </w:r>
      <w:r>
        <w:rPr>
          <w:rFonts w:hint="eastAsia" w:ascii="仿宋" w:hAnsi="仿宋" w:eastAsia="仿宋" w:cs="仿宋"/>
          <w:color w:val="auto"/>
          <w:sz w:val="24"/>
          <w:szCs w:val="24"/>
          <w:lang w:val="en-US" w:eastAsia="zh-CN"/>
        </w:rPr>
        <w:t>）第</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lang w:val="en-US" w:eastAsia="zh-CN"/>
        </w:rPr>
        <w:t>标段的成交供应商。经甲、乙双方协商，鉴证方确认，达成如下合同条款。</w:t>
      </w:r>
    </w:p>
    <w:p w14:paraId="0D7737B1">
      <w:pPr>
        <w:spacing w:line="460" w:lineRule="exact"/>
        <w:ind w:firstLine="472" w:firstLineChars="196"/>
        <w:jc w:val="both"/>
        <w:rPr>
          <w:rFonts w:hint="eastAsia" w:ascii="仿宋" w:hAnsi="仿宋" w:eastAsia="仿宋" w:cs="仿宋"/>
          <w:color w:val="auto"/>
          <w:sz w:val="24"/>
          <w:szCs w:val="24"/>
        </w:rPr>
      </w:pPr>
      <w:r>
        <w:rPr>
          <w:rFonts w:hint="eastAsia" w:ascii="仿宋" w:hAnsi="仿宋" w:eastAsia="仿宋" w:cs="仿宋"/>
          <w:b/>
          <w:bCs/>
          <w:color w:val="auto"/>
          <w:sz w:val="24"/>
          <w:szCs w:val="24"/>
          <w:lang w:val="zh-CN"/>
        </w:rPr>
        <w:t>一、合同标的</w:t>
      </w:r>
    </w:p>
    <w:tbl>
      <w:tblPr>
        <w:tblStyle w:val="5"/>
        <w:tblW w:w="81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2243"/>
        <w:gridCol w:w="1125"/>
        <w:gridCol w:w="885"/>
        <w:gridCol w:w="1125"/>
        <w:gridCol w:w="1140"/>
        <w:gridCol w:w="1140"/>
      </w:tblGrid>
      <w:tr w14:paraId="61FCA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518" w:type="dxa"/>
            <w:tcBorders>
              <w:top w:val="single" w:color="auto" w:sz="4" w:space="0"/>
              <w:left w:val="single" w:color="auto" w:sz="4" w:space="0"/>
              <w:bottom w:val="single" w:color="auto" w:sz="4" w:space="0"/>
              <w:right w:val="single" w:color="auto" w:sz="4" w:space="0"/>
            </w:tcBorders>
            <w:noWrap w:val="0"/>
            <w:vAlign w:val="center"/>
          </w:tcPr>
          <w:p w14:paraId="18A6ADAD">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序号</w:t>
            </w:r>
          </w:p>
        </w:tc>
        <w:tc>
          <w:tcPr>
            <w:tcW w:w="2243" w:type="dxa"/>
            <w:tcBorders>
              <w:top w:val="single" w:color="auto" w:sz="4" w:space="0"/>
              <w:left w:val="single" w:color="auto" w:sz="4" w:space="0"/>
              <w:bottom w:val="single" w:color="auto" w:sz="4" w:space="0"/>
              <w:right w:val="single" w:color="auto" w:sz="4" w:space="0"/>
            </w:tcBorders>
            <w:noWrap w:val="0"/>
            <w:vAlign w:val="center"/>
          </w:tcPr>
          <w:p w14:paraId="20C07E86">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货料</w:t>
            </w:r>
            <w:r>
              <w:rPr>
                <w:rFonts w:hint="eastAsia" w:ascii="仿宋" w:hAnsi="仿宋" w:eastAsia="仿宋" w:cs="仿宋"/>
                <w:color w:val="auto"/>
                <w:sz w:val="24"/>
                <w:szCs w:val="24"/>
              </w:rPr>
              <w:t>名称</w:t>
            </w:r>
          </w:p>
        </w:tc>
        <w:tc>
          <w:tcPr>
            <w:tcW w:w="1125" w:type="dxa"/>
            <w:tcBorders>
              <w:top w:val="single" w:color="auto" w:sz="4" w:space="0"/>
              <w:left w:val="single" w:color="auto" w:sz="4" w:space="0"/>
              <w:bottom w:val="single" w:color="auto" w:sz="4" w:space="0"/>
              <w:right w:val="single" w:color="auto" w:sz="4" w:space="0"/>
            </w:tcBorders>
            <w:noWrap w:val="0"/>
            <w:vAlign w:val="center"/>
          </w:tcPr>
          <w:p w14:paraId="7ECA25E4">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制造厂商</w:t>
            </w:r>
          </w:p>
        </w:tc>
        <w:tc>
          <w:tcPr>
            <w:tcW w:w="885" w:type="dxa"/>
            <w:tcBorders>
              <w:top w:val="single" w:color="auto" w:sz="4" w:space="0"/>
              <w:left w:val="single" w:color="auto" w:sz="4" w:space="0"/>
              <w:bottom w:val="single" w:color="auto" w:sz="4" w:space="0"/>
              <w:right w:val="single" w:color="auto" w:sz="4" w:space="0"/>
            </w:tcBorders>
            <w:noWrap w:val="0"/>
            <w:vAlign w:val="center"/>
          </w:tcPr>
          <w:p w14:paraId="62D7A2E2">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规格</w:t>
            </w:r>
          </w:p>
        </w:tc>
        <w:tc>
          <w:tcPr>
            <w:tcW w:w="1125" w:type="dxa"/>
            <w:tcBorders>
              <w:top w:val="single" w:color="auto" w:sz="4" w:space="0"/>
              <w:left w:val="single" w:color="auto" w:sz="4" w:space="0"/>
              <w:right w:val="single" w:color="auto" w:sz="4" w:space="0"/>
            </w:tcBorders>
            <w:noWrap w:val="0"/>
            <w:vAlign w:val="center"/>
          </w:tcPr>
          <w:p w14:paraId="5B59A747">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单价（元）</w:t>
            </w:r>
          </w:p>
        </w:tc>
        <w:tc>
          <w:tcPr>
            <w:tcW w:w="1140" w:type="dxa"/>
            <w:tcBorders>
              <w:top w:val="single" w:color="auto" w:sz="4" w:space="0"/>
              <w:left w:val="single" w:color="auto" w:sz="4" w:space="0"/>
              <w:right w:val="single" w:color="auto" w:sz="4" w:space="0"/>
            </w:tcBorders>
            <w:noWrap w:val="0"/>
            <w:vAlign w:val="center"/>
          </w:tcPr>
          <w:p w14:paraId="3EC57ED5">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数量（</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w:t>
            </w:r>
          </w:p>
        </w:tc>
        <w:tc>
          <w:tcPr>
            <w:tcW w:w="1140" w:type="dxa"/>
            <w:tcBorders>
              <w:top w:val="single" w:color="auto" w:sz="4" w:space="0"/>
              <w:left w:val="single" w:color="auto" w:sz="4" w:space="0"/>
              <w:bottom w:val="single" w:color="auto" w:sz="4" w:space="0"/>
              <w:right w:val="single" w:color="auto" w:sz="4" w:space="0"/>
            </w:tcBorders>
            <w:noWrap w:val="0"/>
            <w:vAlign w:val="center"/>
          </w:tcPr>
          <w:p w14:paraId="5311934F">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合计（元）</w:t>
            </w:r>
          </w:p>
        </w:tc>
      </w:tr>
      <w:tr w14:paraId="32CC9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noWrap w:val="0"/>
            <w:vAlign w:val="center"/>
          </w:tcPr>
          <w:p w14:paraId="31D50928">
            <w:pPr>
              <w:jc w:val="both"/>
              <w:rPr>
                <w:rFonts w:hint="eastAsia" w:ascii="仿宋" w:hAnsi="仿宋" w:eastAsia="仿宋" w:cs="仿宋"/>
                <w:color w:val="auto"/>
                <w:sz w:val="24"/>
                <w:szCs w:val="24"/>
              </w:rPr>
            </w:pPr>
          </w:p>
        </w:tc>
        <w:tc>
          <w:tcPr>
            <w:tcW w:w="2243" w:type="dxa"/>
            <w:tcBorders>
              <w:top w:val="single" w:color="auto" w:sz="4" w:space="0"/>
              <w:left w:val="single" w:color="auto" w:sz="4" w:space="0"/>
              <w:bottom w:val="single" w:color="auto" w:sz="4" w:space="0"/>
              <w:right w:val="single" w:color="auto" w:sz="4" w:space="0"/>
            </w:tcBorders>
            <w:noWrap w:val="0"/>
            <w:vAlign w:val="center"/>
          </w:tcPr>
          <w:p w14:paraId="48F537F8">
            <w:pPr>
              <w:jc w:val="both"/>
              <w:rPr>
                <w:rFonts w:hint="eastAsia" w:ascii="仿宋" w:hAnsi="仿宋" w:eastAsia="仿宋" w:cs="仿宋"/>
                <w:color w:val="auto"/>
                <w:sz w:val="24"/>
                <w:szCs w:val="24"/>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14:paraId="3ADB6A40">
            <w:pPr>
              <w:jc w:val="both"/>
              <w:rPr>
                <w:rFonts w:hint="eastAsia" w:ascii="仿宋" w:hAnsi="仿宋" w:eastAsia="仿宋" w:cs="仿宋"/>
                <w:color w:val="auto"/>
                <w:sz w:val="24"/>
                <w:szCs w:val="24"/>
              </w:rPr>
            </w:pPr>
          </w:p>
        </w:tc>
        <w:tc>
          <w:tcPr>
            <w:tcW w:w="885" w:type="dxa"/>
            <w:tcBorders>
              <w:top w:val="single" w:color="auto" w:sz="4" w:space="0"/>
              <w:left w:val="single" w:color="auto" w:sz="4" w:space="0"/>
              <w:bottom w:val="single" w:color="auto" w:sz="4" w:space="0"/>
              <w:right w:val="single" w:color="auto" w:sz="4" w:space="0"/>
            </w:tcBorders>
            <w:noWrap w:val="0"/>
            <w:vAlign w:val="center"/>
          </w:tcPr>
          <w:p w14:paraId="7E43BA7C">
            <w:pPr>
              <w:jc w:val="both"/>
              <w:rPr>
                <w:rFonts w:hint="eastAsia" w:ascii="仿宋" w:hAnsi="仿宋" w:eastAsia="仿宋" w:cs="仿宋"/>
                <w:color w:val="auto"/>
                <w:sz w:val="24"/>
                <w:szCs w:val="24"/>
              </w:rPr>
            </w:pPr>
          </w:p>
        </w:tc>
        <w:tc>
          <w:tcPr>
            <w:tcW w:w="1125" w:type="dxa"/>
            <w:tcBorders>
              <w:left w:val="single" w:color="auto" w:sz="4" w:space="0"/>
              <w:right w:val="single" w:color="auto" w:sz="4" w:space="0"/>
            </w:tcBorders>
            <w:noWrap w:val="0"/>
            <w:vAlign w:val="center"/>
          </w:tcPr>
          <w:p w14:paraId="03E43A64">
            <w:pPr>
              <w:jc w:val="both"/>
              <w:rPr>
                <w:rFonts w:hint="eastAsia" w:ascii="仿宋" w:hAnsi="仿宋" w:eastAsia="仿宋" w:cs="仿宋"/>
                <w:color w:val="auto"/>
                <w:sz w:val="24"/>
                <w:szCs w:val="24"/>
              </w:rPr>
            </w:pPr>
          </w:p>
        </w:tc>
        <w:tc>
          <w:tcPr>
            <w:tcW w:w="1140" w:type="dxa"/>
            <w:tcBorders>
              <w:left w:val="single" w:color="auto" w:sz="4" w:space="0"/>
              <w:right w:val="single" w:color="auto" w:sz="4" w:space="0"/>
            </w:tcBorders>
            <w:noWrap w:val="0"/>
            <w:vAlign w:val="center"/>
          </w:tcPr>
          <w:p w14:paraId="4DA10449">
            <w:pPr>
              <w:jc w:val="both"/>
              <w:rPr>
                <w:rFonts w:hint="eastAsia" w:ascii="仿宋" w:hAnsi="仿宋" w:eastAsia="仿宋" w:cs="仿宋"/>
                <w:color w:val="auto"/>
                <w:sz w:val="24"/>
                <w:szCs w:val="24"/>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0173B451">
            <w:pPr>
              <w:jc w:val="both"/>
              <w:rPr>
                <w:rFonts w:hint="eastAsia" w:ascii="仿宋" w:hAnsi="仿宋" w:eastAsia="仿宋" w:cs="仿宋"/>
                <w:color w:val="auto"/>
                <w:sz w:val="24"/>
                <w:szCs w:val="24"/>
              </w:rPr>
            </w:pPr>
          </w:p>
        </w:tc>
      </w:tr>
      <w:tr w14:paraId="592E7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noWrap w:val="0"/>
            <w:vAlign w:val="center"/>
          </w:tcPr>
          <w:p w14:paraId="3ACBF852">
            <w:pPr>
              <w:jc w:val="both"/>
              <w:rPr>
                <w:rFonts w:hint="eastAsia" w:ascii="仿宋" w:hAnsi="仿宋" w:eastAsia="仿宋" w:cs="仿宋"/>
                <w:color w:val="auto"/>
                <w:sz w:val="24"/>
                <w:szCs w:val="24"/>
                <w:lang w:val="en-US" w:eastAsia="zh-CN"/>
              </w:rPr>
            </w:pPr>
          </w:p>
        </w:tc>
        <w:tc>
          <w:tcPr>
            <w:tcW w:w="2243" w:type="dxa"/>
            <w:tcBorders>
              <w:top w:val="single" w:color="auto" w:sz="4" w:space="0"/>
              <w:left w:val="single" w:color="auto" w:sz="4" w:space="0"/>
              <w:bottom w:val="single" w:color="auto" w:sz="4" w:space="0"/>
              <w:right w:val="single" w:color="auto" w:sz="4" w:space="0"/>
            </w:tcBorders>
            <w:noWrap w:val="0"/>
            <w:vAlign w:val="center"/>
          </w:tcPr>
          <w:p w14:paraId="76F1E023">
            <w:pPr>
              <w:jc w:val="both"/>
              <w:rPr>
                <w:rFonts w:hint="eastAsia" w:ascii="仿宋" w:hAnsi="仿宋" w:eastAsia="仿宋" w:cs="仿宋"/>
                <w:color w:val="auto"/>
                <w:sz w:val="24"/>
                <w:szCs w:val="24"/>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14:paraId="1989BD24">
            <w:pPr>
              <w:jc w:val="both"/>
              <w:rPr>
                <w:rFonts w:hint="eastAsia" w:ascii="仿宋" w:hAnsi="仿宋" w:eastAsia="仿宋" w:cs="仿宋"/>
                <w:color w:val="auto"/>
                <w:sz w:val="24"/>
                <w:szCs w:val="24"/>
              </w:rPr>
            </w:pPr>
          </w:p>
        </w:tc>
        <w:tc>
          <w:tcPr>
            <w:tcW w:w="885" w:type="dxa"/>
            <w:tcBorders>
              <w:top w:val="single" w:color="auto" w:sz="4" w:space="0"/>
              <w:left w:val="single" w:color="auto" w:sz="4" w:space="0"/>
              <w:bottom w:val="single" w:color="auto" w:sz="4" w:space="0"/>
              <w:right w:val="single" w:color="auto" w:sz="4" w:space="0"/>
            </w:tcBorders>
            <w:noWrap w:val="0"/>
            <w:vAlign w:val="center"/>
          </w:tcPr>
          <w:p w14:paraId="56F9632F">
            <w:pPr>
              <w:jc w:val="both"/>
              <w:rPr>
                <w:rFonts w:hint="eastAsia" w:ascii="仿宋" w:hAnsi="仿宋" w:eastAsia="仿宋" w:cs="仿宋"/>
                <w:color w:val="auto"/>
                <w:sz w:val="24"/>
                <w:szCs w:val="24"/>
              </w:rPr>
            </w:pPr>
          </w:p>
        </w:tc>
        <w:tc>
          <w:tcPr>
            <w:tcW w:w="1125" w:type="dxa"/>
            <w:tcBorders>
              <w:left w:val="single" w:color="auto" w:sz="4" w:space="0"/>
              <w:right w:val="single" w:color="auto" w:sz="4" w:space="0"/>
            </w:tcBorders>
            <w:noWrap w:val="0"/>
            <w:vAlign w:val="center"/>
          </w:tcPr>
          <w:p w14:paraId="1AC34D97">
            <w:pPr>
              <w:jc w:val="both"/>
              <w:rPr>
                <w:rFonts w:hint="eastAsia" w:ascii="仿宋" w:hAnsi="仿宋" w:eastAsia="仿宋" w:cs="仿宋"/>
                <w:color w:val="auto"/>
                <w:sz w:val="24"/>
                <w:szCs w:val="24"/>
              </w:rPr>
            </w:pPr>
          </w:p>
        </w:tc>
        <w:tc>
          <w:tcPr>
            <w:tcW w:w="1140" w:type="dxa"/>
            <w:tcBorders>
              <w:left w:val="single" w:color="auto" w:sz="4" w:space="0"/>
              <w:right w:val="single" w:color="auto" w:sz="4" w:space="0"/>
            </w:tcBorders>
            <w:noWrap w:val="0"/>
            <w:vAlign w:val="center"/>
          </w:tcPr>
          <w:p w14:paraId="2A098B7C">
            <w:pPr>
              <w:jc w:val="both"/>
              <w:rPr>
                <w:rFonts w:hint="eastAsia" w:ascii="仿宋" w:hAnsi="仿宋" w:eastAsia="仿宋" w:cs="仿宋"/>
                <w:color w:val="auto"/>
                <w:sz w:val="24"/>
                <w:szCs w:val="24"/>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781D3813">
            <w:pPr>
              <w:jc w:val="both"/>
              <w:rPr>
                <w:rFonts w:hint="eastAsia" w:ascii="仿宋" w:hAnsi="仿宋" w:eastAsia="仿宋" w:cs="仿宋"/>
                <w:color w:val="auto"/>
                <w:sz w:val="24"/>
                <w:szCs w:val="24"/>
              </w:rPr>
            </w:pPr>
          </w:p>
        </w:tc>
      </w:tr>
      <w:tr w14:paraId="5355C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noWrap w:val="0"/>
            <w:vAlign w:val="center"/>
          </w:tcPr>
          <w:p w14:paraId="5358720B">
            <w:pPr>
              <w:jc w:val="both"/>
              <w:rPr>
                <w:rFonts w:hint="eastAsia" w:ascii="仿宋" w:hAnsi="仿宋" w:eastAsia="仿宋" w:cs="仿宋"/>
                <w:color w:val="auto"/>
                <w:sz w:val="24"/>
                <w:szCs w:val="24"/>
                <w:lang w:val="en-US" w:eastAsia="zh-CN"/>
              </w:rPr>
            </w:pPr>
          </w:p>
        </w:tc>
        <w:tc>
          <w:tcPr>
            <w:tcW w:w="2243" w:type="dxa"/>
            <w:tcBorders>
              <w:top w:val="single" w:color="auto" w:sz="4" w:space="0"/>
              <w:left w:val="single" w:color="auto" w:sz="4" w:space="0"/>
              <w:bottom w:val="single" w:color="auto" w:sz="4" w:space="0"/>
              <w:right w:val="single" w:color="auto" w:sz="4" w:space="0"/>
            </w:tcBorders>
            <w:noWrap w:val="0"/>
            <w:vAlign w:val="center"/>
          </w:tcPr>
          <w:p w14:paraId="035455E8">
            <w:pPr>
              <w:jc w:val="both"/>
              <w:rPr>
                <w:rFonts w:hint="eastAsia" w:ascii="仿宋" w:hAnsi="仿宋" w:eastAsia="仿宋" w:cs="仿宋"/>
                <w:color w:val="auto"/>
                <w:sz w:val="24"/>
                <w:szCs w:val="24"/>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14:paraId="5D4554A2">
            <w:pPr>
              <w:jc w:val="both"/>
              <w:rPr>
                <w:rFonts w:hint="eastAsia" w:ascii="仿宋" w:hAnsi="仿宋" w:eastAsia="仿宋" w:cs="仿宋"/>
                <w:color w:val="auto"/>
                <w:sz w:val="24"/>
                <w:szCs w:val="24"/>
              </w:rPr>
            </w:pPr>
          </w:p>
        </w:tc>
        <w:tc>
          <w:tcPr>
            <w:tcW w:w="885" w:type="dxa"/>
            <w:tcBorders>
              <w:top w:val="single" w:color="auto" w:sz="4" w:space="0"/>
              <w:left w:val="single" w:color="auto" w:sz="4" w:space="0"/>
              <w:bottom w:val="single" w:color="auto" w:sz="4" w:space="0"/>
              <w:right w:val="single" w:color="auto" w:sz="4" w:space="0"/>
            </w:tcBorders>
            <w:noWrap w:val="0"/>
            <w:vAlign w:val="center"/>
          </w:tcPr>
          <w:p w14:paraId="1EF0DE79">
            <w:pPr>
              <w:jc w:val="both"/>
              <w:rPr>
                <w:rFonts w:hint="eastAsia" w:ascii="仿宋" w:hAnsi="仿宋" w:eastAsia="仿宋" w:cs="仿宋"/>
                <w:color w:val="auto"/>
                <w:sz w:val="24"/>
                <w:szCs w:val="24"/>
              </w:rPr>
            </w:pPr>
          </w:p>
        </w:tc>
        <w:tc>
          <w:tcPr>
            <w:tcW w:w="1125" w:type="dxa"/>
            <w:tcBorders>
              <w:left w:val="single" w:color="auto" w:sz="4" w:space="0"/>
              <w:bottom w:val="single" w:color="auto" w:sz="4" w:space="0"/>
              <w:right w:val="single" w:color="auto" w:sz="4" w:space="0"/>
            </w:tcBorders>
            <w:noWrap w:val="0"/>
            <w:vAlign w:val="center"/>
          </w:tcPr>
          <w:p w14:paraId="3B76B4CD">
            <w:pPr>
              <w:jc w:val="both"/>
              <w:rPr>
                <w:rFonts w:hint="eastAsia" w:ascii="仿宋" w:hAnsi="仿宋" w:eastAsia="仿宋" w:cs="仿宋"/>
                <w:color w:val="auto"/>
                <w:sz w:val="24"/>
                <w:szCs w:val="24"/>
              </w:rPr>
            </w:pPr>
          </w:p>
        </w:tc>
        <w:tc>
          <w:tcPr>
            <w:tcW w:w="1140" w:type="dxa"/>
            <w:tcBorders>
              <w:left w:val="single" w:color="auto" w:sz="4" w:space="0"/>
              <w:bottom w:val="single" w:color="auto" w:sz="4" w:space="0"/>
              <w:right w:val="single" w:color="auto" w:sz="4" w:space="0"/>
            </w:tcBorders>
            <w:noWrap w:val="0"/>
            <w:vAlign w:val="center"/>
          </w:tcPr>
          <w:p w14:paraId="597ADEB5">
            <w:pPr>
              <w:jc w:val="both"/>
              <w:rPr>
                <w:rFonts w:hint="eastAsia" w:ascii="仿宋" w:hAnsi="仿宋" w:eastAsia="仿宋" w:cs="仿宋"/>
                <w:color w:val="auto"/>
                <w:sz w:val="24"/>
                <w:szCs w:val="24"/>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6BEC16A0">
            <w:pPr>
              <w:jc w:val="both"/>
              <w:rPr>
                <w:rFonts w:hint="eastAsia" w:ascii="仿宋" w:hAnsi="仿宋" w:eastAsia="仿宋" w:cs="仿宋"/>
                <w:color w:val="auto"/>
                <w:sz w:val="24"/>
                <w:szCs w:val="24"/>
              </w:rPr>
            </w:pPr>
          </w:p>
        </w:tc>
      </w:tr>
    </w:tbl>
    <w:p w14:paraId="20BFD542">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二、合同价款</w:t>
      </w:r>
    </w:p>
    <w:p w14:paraId="76BC3137">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1、合同总价：人民币</w:t>
      </w:r>
      <w:r>
        <w:rPr>
          <w:rFonts w:hint="eastAsia" w:ascii="仿宋" w:hAnsi="仿宋" w:eastAsia="仿宋" w:cs="仿宋"/>
          <w:color w:val="auto"/>
          <w:sz w:val="24"/>
          <w:szCs w:val="24"/>
          <w:lang w:val="en-US" w:eastAsia="zh-CN"/>
        </w:rPr>
        <w:t>XXXXXXXXXXXXXXX</w:t>
      </w:r>
      <w:r>
        <w:rPr>
          <w:rFonts w:hint="eastAsia" w:ascii="仿宋" w:hAnsi="仿宋" w:eastAsia="仿宋" w:cs="仿宋"/>
          <w:color w:val="auto"/>
          <w:sz w:val="24"/>
          <w:szCs w:val="24"/>
        </w:rPr>
        <w:t>元整（￥</w:t>
      </w:r>
      <w:r>
        <w:rPr>
          <w:rFonts w:hint="eastAsia" w:ascii="仿宋" w:hAnsi="仿宋" w:eastAsia="仿宋" w:cs="仿宋"/>
          <w:color w:val="auto"/>
          <w:sz w:val="24"/>
          <w:szCs w:val="24"/>
          <w:lang w:val="en-US" w:eastAsia="zh-CN"/>
        </w:rPr>
        <w:t>XXXXX</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XX</w:t>
      </w:r>
      <w:r>
        <w:rPr>
          <w:rFonts w:hint="eastAsia" w:ascii="仿宋" w:hAnsi="仿宋" w:eastAsia="仿宋" w:cs="仿宋"/>
          <w:color w:val="auto"/>
          <w:sz w:val="24"/>
          <w:szCs w:val="24"/>
        </w:rPr>
        <w:t>）。</w:t>
      </w:r>
    </w:p>
    <w:p w14:paraId="6B5A506A">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2、合同总价包括：税费、培训费、产品费、运杂费及其它相关的费用。</w:t>
      </w:r>
    </w:p>
    <w:p w14:paraId="26722F8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3、合同</w:t>
      </w:r>
      <w:r>
        <w:rPr>
          <w:rFonts w:hint="eastAsia" w:ascii="仿宋" w:hAnsi="仿宋" w:eastAsia="仿宋" w:cs="仿宋"/>
          <w:color w:val="auto"/>
          <w:sz w:val="24"/>
          <w:szCs w:val="24"/>
          <w:lang w:eastAsia="zh-CN"/>
        </w:rPr>
        <w:t>货物</w:t>
      </w:r>
      <w:r>
        <w:rPr>
          <w:rFonts w:hint="eastAsia" w:ascii="仿宋" w:hAnsi="仿宋" w:eastAsia="仿宋" w:cs="仿宋"/>
          <w:color w:val="auto"/>
          <w:sz w:val="24"/>
          <w:szCs w:val="24"/>
        </w:rPr>
        <w:t>单价一次包死，</w:t>
      </w:r>
      <w:r>
        <w:rPr>
          <w:rFonts w:hint="eastAsia" w:ascii="仿宋" w:hAnsi="仿宋" w:eastAsia="仿宋" w:cs="仿宋"/>
          <w:color w:val="auto"/>
          <w:sz w:val="24"/>
          <w:szCs w:val="24"/>
          <w:lang w:val="en-US" w:eastAsia="zh-CN"/>
        </w:rPr>
        <w:t>不受市场劳务等其它因素的影响而变化。</w:t>
      </w:r>
      <w:r>
        <w:rPr>
          <w:rFonts w:hint="eastAsia" w:ascii="仿宋" w:hAnsi="仿宋" w:eastAsia="仿宋" w:cs="仿宋"/>
          <w:color w:val="auto"/>
          <w:sz w:val="24"/>
          <w:szCs w:val="24"/>
          <w:lang w:eastAsia="zh-CN"/>
        </w:rPr>
        <w:t>在不超出总价的情况下，</w:t>
      </w:r>
      <w:r>
        <w:rPr>
          <w:rFonts w:hint="eastAsia" w:ascii="仿宋" w:hAnsi="仿宋" w:eastAsia="仿宋" w:cs="仿宋"/>
          <w:color w:val="auto"/>
          <w:sz w:val="24"/>
          <w:szCs w:val="24"/>
          <w:lang w:val="en-US" w:eastAsia="zh-CN"/>
        </w:rPr>
        <w:t>甲方可根据实际需求通知乙方分批供货，</w:t>
      </w:r>
      <w:r>
        <w:rPr>
          <w:rFonts w:hint="eastAsia" w:ascii="仿宋" w:hAnsi="仿宋" w:eastAsia="仿宋" w:cs="仿宋"/>
          <w:b w:val="0"/>
          <w:bCs w:val="0"/>
          <w:color w:val="auto"/>
          <w:sz w:val="24"/>
          <w:szCs w:val="24"/>
          <w:lang w:val="en-US" w:eastAsia="zh-CN"/>
        </w:rPr>
        <w:t>合同内每种货物的具体采购数量可根据甲方实际需要适当调整，</w:t>
      </w:r>
      <w:r>
        <w:rPr>
          <w:rFonts w:hint="eastAsia" w:ascii="仿宋" w:hAnsi="仿宋" w:eastAsia="仿宋" w:cs="仿宋"/>
          <w:color w:val="auto"/>
          <w:sz w:val="24"/>
          <w:szCs w:val="24"/>
        </w:rPr>
        <w:t>最终付款总价以甲方实际使用数量为准。</w:t>
      </w:r>
    </w:p>
    <w:p w14:paraId="25C62D16">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三、</w:t>
      </w:r>
      <w:r>
        <w:rPr>
          <w:rFonts w:hint="eastAsia" w:ascii="仿宋" w:hAnsi="仿宋" w:eastAsia="仿宋" w:cs="仿宋"/>
          <w:b/>
          <w:color w:val="auto"/>
          <w:sz w:val="24"/>
          <w:szCs w:val="24"/>
          <w:lang w:eastAsia="zh-CN"/>
        </w:rPr>
        <w:t>支付</w:t>
      </w:r>
      <w:r>
        <w:rPr>
          <w:rFonts w:hint="eastAsia" w:ascii="仿宋" w:hAnsi="仿宋" w:eastAsia="仿宋" w:cs="仿宋"/>
          <w:b/>
          <w:color w:val="auto"/>
          <w:sz w:val="24"/>
          <w:szCs w:val="24"/>
        </w:rPr>
        <w:t>结算</w:t>
      </w:r>
    </w:p>
    <w:p w14:paraId="2A5A1562">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1、付款方式：银行转账。由</w:t>
      </w:r>
      <w:r>
        <w:rPr>
          <w:rFonts w:hint="eastAsia" w:ascii="仿宋" w:hAnsi="仿宋" w:eastAsia="仿宋" w:cs="仿宋"/>
          <w:strike w:val="0"/>
          <w:dstrike w:val="0"/>
          <w:color w:val="auto"/>
          <w:sz w:val="24"/>
          <w:szCs w:val="24"/>
          <w:lang w:val="en-US" w:eastAsia="zh-CN"/>
        </w:rPr>
        <w:t>甲方</w:t>
      </w:r>
      <w:r>
        <w:rPr>
          <w:rFonts w:hint="eastAsia" w:ascii="仿宋" w:hAnsi="仿宋" w:eastAsia="仿宋" w:cs="仿宋"/>
          <w:color w:val="auto"/>
          <w:sz w:val="24"/>
          <w:szCs w:val="24"/>
        </w:rPr>
        <w:t>负责结算，</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必须开具全额发票，并附详细清单和验收单。如非</w:t>
      </w:r>
      <w:r>
        <w:rPr>
          <w:rFonts w:hint="eastAsia" w:ascii="仿宋" w:hAnsi="仿宋" w:eastAsia="仿宋" w:cs="仿宋"/>
          <w:strike w:val="0"/>
          <w:dstrike w:val="0"/>
          <w:color w:val="auto"/>
          <w:sz w:val="24"/>
          <w:szCs w:val="24"/>
          <w:lang w:val="en-US" w:eastAsia="zh-CN"/>
        </w:rPr>
        <w:t>乙方</w:t>
      </w:r>
      <w:r>
        <w:rPr>
          <w:rFonts w:hint="eastAsia" w:ascii="仿宋" w:hAnsi="仿宋" w:eastAsia="仿宋" w:cs="仿宋"/>
          <w:color w:val="auto"/>
          <w:sz w:val="24"/>
          <w:szCs w:val="24"/>
        </w:rPr>
        <w:t>开具发票，甲方有权拒绝支付。</w:t>
      </w:r>
    </w:p>
    <w:p w14:paraId="037A8C90">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2、结算方式：根据甲方工作实际需求对产品进行分批采购，分批付款。每批次产品经甲方确认</w:t>
      </w:r>
      <w:r>
        <w:rPr>
          <w:rFonts w:hint="eastAsia" w:ascii="仿宋" w:hAnsi="仿宋" w:eastAsia="仿宋" w:cs="仿宋"/>
          <w:color w:val="auto"/>
          <w:sz w:val="24"/>
          <w:szCs w:val="24"/>
          <w:lang w:val="en-US" w:eastAsia="zh-CN"/>
        </w:rPr>
        <w:t>验收</w:t>
      </w:r>
      <w:r>
        <w:rPr>
          <w:rFonts w:hint="eastAsia" w:ascii="仿宋" w:hAnsi="仿宋" w:eastAsia="仿宋" w:cs="仿宋"/>
          <w:color w:val="auto"/>
          <w:sz w:val="24"/>
          <w:szCs w:val="24"/>
        </w:rPr>
        <w:t>合格后三个月内，按</w:t>
      </w:r>
      <w:r>
        <w:rPr>
          <w:rFonts w:hint="eastAsia" w:ascii="仿宋" w:hAnsi="仿宋" w:eastAsia="仿宋" w:cs="仿宋"/>
          <w:strike w:val="0"/>
          <w:dstrike w:val="0"/>
          <w:color w:val="auto"/>
          <w:sz w:val="24"/>
          <w:szCs w:val="24"/>
          <w:lang w:val="en-US" w:eastAsia="zh-CN"/>
        </w:rPr>
        <w:t>乙方开具发票金额</w:t>
      </w:r>
      <w:r>
        <w:rPr>
          <w:rFonts w:hint="eastAsia" w:ascii="仿宋" w:hAnsi="仿宋" w:eastAsia="仿宋" w:cs="仿宋"/>
          <w:color w:val="auto"/>
          <w:sz w:val="24"/>
          <w:szCs w:val="24"/>
        </w:rPr>
        <w:t>据实支付。</w:t>
      </w:r>
    </w:p>
    <w:p w14:paraId="0403E493">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仿宋" w:hAnsi="仿宋" w:eastAsia="仿宋" w:cs="仿宋"/>
          <w:b/>
          <w:color w:val="auto"/>
          <w:sz w:val="24"/>
          <w:szCs w:val="24"/>
          <w:lang w:eastAsia="zh-CN"/>
        </w:rPr>
      </w:pPr>
      <w:r>
        <w:rPr>
          <w:rFonts w:hint="eastAsia" w:ascii="仿宋" w:hAnsi="仿宋" w:eastAsia="仿宋" w:cs="仿宋"/>
          <w:b/>
          <w:color w:val="auto"/>
          <w:sz w:val="24"/>
          <w:szCs w:val="24"/>
        </w:rPr>
        <w:t>四、交</w:t>
      </w:r>
      <w:r>
        <w:rPr>
          <w:rFonts w:hint="eastAsia" w:ascii="仿宋" w:hAnsi="仿宋" w:eastAsia="仿宋" w:cs="仿宋"/>
          <w:b/>
          <w:color w:val="auto"/>
          <w:sz w:val="24"/>
          <w:szCs w:val="24"/>
          <w:lang w:eastAsia="zh-CN"/>
        </w:rPr>
        <w:t>付约定</w:t>
      </w:r>
    </w:p>
    <w:p w14:paraId="511B4D0A">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1、交</w:t>
      </w:r>
      <w:r>
        <w:rPr>
          <w:rFonts w:hint="eastAsia" w:ascii="仿宋" w:hAnsi="仿宋" w:eastAsia="仿宋" w:cs="仿宋"/>
          <w:color w:val="auto"/>
          <w:sz w:val="24"/>
          <w:szCs w:val="24"/>
          <w:lang w:eastAsia="zh-CN"/>
        </w:rPr>
        <w:t>付时间</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自合同签订之日起一年</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乙方接到甲方供货通知</w:t>
      </w:r>
      <w:r>
        <w:rPr>
          <w:rFonts w:hint="eastAsia" w:ascii="仿宋" w:hAnsi="仿宋" w:eastAsia="仿宋" w:cs="仿宋"/>
          <w:color w:val="auto"/>
          <w:sz w:val="24"/>
          <w:szCs w:val="24"/>
          <w:u w:val="single"/>
          <w:lang w:val="en-US" w:eastAsia="zh-CN"/>
        </w:rPr>
        <w:t>XX</w:t>
      </w:r>
      <w:r>
        <w:rPr>
          <w:rFonts w:hint="eastAsia" w:ascii="仿宋" w:hAnsi="仿宋" w:eastAsia="仿宋" w:cs="仿宋"/>
          <w:color w:val="auto"/>
          <w:sz w:val="24"/>
          <w:szCs w:val="24"/>
        </w:rPr>
        <w:t>个日历日内交货</w:t>
      </w:r>
      <w:r>
        <w:rPr>
          <w:rFonts w:hint="eastAsia" w:ascii="仿宋" w:hAnsi="仿宋" w:eastAsia="仿宋" w:cs="仿宋"/>
          <w:color w:val="auto"/>
          <w:sz w:val="24"/>
          <w:szCs w:val="24"/>
          <w:lang w:eastAsia="zh-CN"/>
        </w:rPr>
        <w:t>，并</w:t>
      </w:r>
      <w:r>
        <w:rPr>
          <w:rFonts w:hint="eastAsia" w:ascii="仿宋" w:hAnsi="仿宋" w:eastAsia="仿宋" w:cs="仿宋"/>
          <w:color w:val="auto"/>
          <w:sz w:val="24"/>
          <w:szCs w:val="24"/>
        </w:rPr>
        <w:t>按照甲方需求分批供货</w:t>
      </w:r>
      <w:r>
        <w:rPr>
          <w:rFonts w:hint="eastAsia" w:ascii="仿宋" w:hAnsi="仿宋" w:eastAsia="仿宋" w:cs="仿宋"/>
          <w:color w:val="auto"/>
          <w:sz w:val="24"/>
          <w:szCs w:val="24"/>
          <w:lang w:eastAsia="zh-CN"/>
        </w:rPr>
        <w:t>。</w:t>
      </w:r>
    </w:p>
    <w:p w14:paraId="301518B8">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2、交</w:t>
      </w:r>
      <w:r>
        <w:rPr>
          <w:rFonts w:hint="eastAsia" w:ascii="仿宋" w:hAnsi="仿宋" w:eastAsia="仿宋" w:cs="仿宋"/>
          <w:color w:val="auto"/>
          <w:sz w:val="24"/>
          <w:szCs w:val="24"/>
          <w:lang w:eastAsia="zh-CN"/>
        </w:rPr>
        <w:t>付</w:t>
      </w:r>
      <w:r>
        <w:rPr>
          <w:rFonts w:hint="eastAsia" w:ascii="仿宋" w:hAnsi="仿宋" w:eastAsia="仿宋" w:cs="仿宋"/>
          <w:color w:val="auto"/>
          <w:sz w:val="24"/>
          <w:szCs w:val="24"/>
        </w:rPr>
        <w:t>地点：</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指定地点。</w:t>
      </w:r>
    </w:p>
    <w:p w14:paraId="295B6AB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交付条件：</w:t>
      </w:r>
      <w:r>
        <w:rPr>
          <w:rFonts w:hint="eastAsia" w:ascii="仿宋" w:hAnsi="仿宋" w:eastAsia="仿宋" w:cs="仿宋"/>
          <w:color w:val="auto"/>
          <w:sz w:val="24"/>
          <w:szCs w:val="24"/>
        </w:rPr>
        <w:t>产品保质期到交</w:t>
      </w:r>
      <w:r>
        <w:rPr>
          <w:rFonts w:hint="eastAsia" w:ascii="仿宋" w:hAnsi="仿宋" w:eastAsia="仿宋" w:cs="仿宋"/>
          <w:color w:val="auto"/>
          <w:sz w:val="24"/>
          <w:szCs w:val="24"/>
          <w:lang w:eastAsia="zh-CN"/>
        </w:rPr>
        <w:t>付</w:t>
      </w:r>
      <w:r>
        <w:rPr>
          <w:rFonts w:hint="eastAsia" w:ascii="仿宋" w:hAnsi="仿宋" w:eastAsia="仿宋" w:cs="仿宋"/>
          <w:color w:val="auto"/>
          <w:sz w:val="24"/>
          <w:szCs w:val="24"/>
        </w:rPr>
        <w:t>地点的有效期不低于</w:t>
      </w:r>
      <w:r>
        <w:rPr>
          <w:rFonts w:hint="eastAsia" w:ascii="仿宋" w:hAnsi="仿宋" w:eastAsia="仿宋" w:cs="仿宋"/>
          <w:color w:val="auto"/>
          <w:sz w:val="24"/>
          <w:szCs w:val="24"/>
          <w:u w:val="single"/>
          <w:lang w:val="en-US" w:eastAsia="zh-CN"/>
        </w:rPr>
        <w:t>XX</w:t>
      </w:r>
      <w:r>
        <w:rPr>
          <w:rFonts w:hint="eastAsia" w:ascii="仿宋" w:hAnsi="仿宋" w:eastAsia="仿宋" w:cs="仿宋"/>
          <w:color w:val="auto"/>
          <w:sz w:val="24"/>
          <w:szCs w:val="24"/>
        </w:rPr>
        <w:t>个月</w:t>
      </w:r>
      <w:r>
        <w:rPr>
          <w:rFonts w:hint="eastAsia" w:ascii="仿宋" w:hAnsi="仿宋" w:eastAsia="仿宋" w:cs="仿宋"/>
          <w:color w:val="auto"/>
          <w:sz w:val="24"/>
          <w:szCs w:val="24"/>
          <w:lang w:eastAsia="zh-CN"/>
        </w:rPr>
        <w:t>，同时</w:t>
      </w:r>
      <w:r>
        <w:rPr>
          <w:rFonts w:hint="eastAsia" w:ascii="仿宋" w:hAnsi="仿宋" w:eastAsia="仿宋" w:cs="仿宋"/>
          <w:color w:val="auto"/>
          <w:sz w:val="24"/>
          <w:szCs w:val="24"/>
        </w:rPr>
        <w:t>提供以下相关资料存档：（1）《医疗器械生产许可证》或《医疗器械经营许可证》；（2）营业执照复印件；（3）医疗器械产品注册证；（4）销售人员有效身份证明复印件；（5）出厂质量检验报告等。</w:t>
      </w:r>
      <w:r>
        <w:rPr>
          <w:rFonts w:hint="eastAsia" w:ascii="仿宋" w:hAnsi="仿宋" w:eastAsia="仿宋" w:cs="仿宋"/>
          <w:color w:val="auto"/>
          <w:sz w:val="24"/>
          <w:szCs w:val="24"/>
          <w:lang w:eastAsia="zh-CN"/>
        </w:rPr>
        <w:t>若属于药品管理的，</w:t>
      </w:r>
      <w:r>
        <w:rPr>
          <w:rFonts w:hint="eastAsia" w:ascii="仿宋" w:hAnsi="仿宋" w:eastAsia="仿宋" w:cs="仿宋"/>
          <w:color w:val="auto"/>
          <w:sz w:val="24"/>
          <w:szCs w:val="24"/>
        </w:rPr>
        <w:t>提供以下相关资料存档：（1）《药品生产许可证》和《药品经营许可证》</w:t>
      </w:r>
      <w:r>
        <w:rPr>
          <w:rFonts w:hint="eastAsia" w:ascii="仿宋" w:hAnsi="仿宋" w:eastAsia="仿宋" w:cs="仿宋"/>
          <w:color w:val="auto"/>
          <w:sz w:val="24"/>
          <w:szCs w:val="24"/>
          <w:lang w:val="en-US" w:eastAsia="zh-CN"/>
        </w:rPr>
        <w:t>复印件</w:t>
      </w:r>
      <w:r>
        <w:rPr>
          <w:rFonts w:hint="eastAsia" w:ascii="仿宋" w:hAnsi="仿宋" w:eastAsia="仿宋" w:cs="仿宋"/>
          <w:color w:val="auto"/>
          <w:sz w:val="24"/>
          <w:szCs w:val="24"/>
          <w:lang w:eastAsia="zh-CN"/>
        </w:rPr>
        <w:t>及</w:t>
      </w:r>
      <w:r>
        <w:rPr>
          <w:rFonts w:hint="eastAsia" w:ascii="仿宋" w:hAnsi="仿宋" w:eastAsia="仿宋" w:cs="仿宋"/>
          <w:color w:val="auto"/>
          <w:sz w:val="24"/>
          <w:szCs w:val="24"/>
        </w:rPr>
        <w:t>营业执照复印件；（</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）《药品生产质量管理规范》和《药品经营质量管理规范》认证证书复印件；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药品的批准证明文件复印件；</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）销售人员有效身份证明复印件；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血源筛查体外诊断试剂的批签发文件；</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）出厂质量检验报告等。</w:t>
      </w:r>
    </w:p>
    <w:p w14:paraId="3BACA4F3">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五、货物验收</w:t>
      </w:r>
    </w:p>
    <w:p w14:paraId="048C42F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初步验收：按照验收依据对产品的规格、数量、包装等进行确认，对关键产品的技术指标、性能参数等进行抽检或逐项检查。若使用中发现缺陷，将视为产品验收不合格，供应商应无条件免费更换或退货。货物运送至交付地点时，乙方向甲方提供产品供货清单（注明品名、数量、生产厂家）以及产品使用过程中的所有资料，便于甲方收货和验收。初步验收合格的，甲方在产品供货清单中签字确认。</w:t>
      </w:r>
    </w:p>
    <w:p w14:paraId="5B3A547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2、最终验收：甲方和乙方共同对项目整体进行验收，在全部货物配送完毕后15个日历日内完成。验收合格，乙方填写验收单，交付甲方签字生效。</w:t>
      </w:r>
    </w:p>
    <w:p w14:paraId="60740E3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3、验收依据：（1）采购文件、投标文件、澄清函；（2）国家及行业现行的标准和技术规范。</w:t>
      </w:r>
    </w:p>
    <w:p w14:paraId="26461DAA">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4、若发现供应商有弄虚作假的，在招标阶段故意或随意夸大产品技术性能，乙方应无条件退货，并赔偿甲方相应的损失。</w:t>
      </w:r>
    </w:p>
    <w:p w14:paraId="120DF454">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5、乙方向甲方提交的供货清单、验收单需加盖乙方鲜章，若无则甲方有权拒绝签字确认。</w:t>
      </w:r>
      <w:bookmarkStart w:id="2" w:name="_GoBack"/>
      <w:bookmarkEnd w:id="2"/>
    </w:p>
    <w:p w14:paraId="5823A652">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六、质量保证</w:t>
      </w:r>
    </w:p>
    <w:p w14:paraId="2D96D865">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1、乙方提供产品必须是原品牌制造厂制造的最新工艺生产的最新产品。</w:t>
      </w:r>
    </w:p>
    <w:p w14:paraId="0EC00DF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2、所供产品必须是经过办理正常手续的全新产品。</w:t>
      </w:r>
    </w:p>
    <w:p w14:paraId="27AD46A5">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3、所供产品是经过国家法定检验、注册、准许市场销售的合法、合格产品。</w:t>
      </w:r>
    </w:p>
    <w:p w14:paraId="663CC8CA">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4、产品性能稳定、具有较好的使用效果，质量保证措施完善，符合国家相关标准。</w:t>
      </w:r>
    </w:p>
    <w:p w14:paraId="1CAED18B">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5、使用中因乙方产品质量所引发的各种赔偿责任（如医疗纠纷）由厂家或供货</w:t>
      </w:r>
      <w:r>
        <w:rPr>
          <w:rFonts w:hint="eastAsia" w:ascii="仿宋" w:hAnsi="仿宋" w:eastAsia="仿宋" w:cs="仿宋"/>
          <w:color w:val="auto"/>
          <w:sz w:val="24"/>
          <w:szCs w:val="24"/>
        </w:rPr>
        <w:t>商负责协调解决。</w:t>
      </w:r>
    </w:p>
    <w:p w14:paraId="7877F06A">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6、对于存在质量问题或者短少的产品，</w:t>
      </w:r>
      <w:r>
        <w:rPr>
          <w:rFonts w:hint="eastAsia" w:ascii="仿宋" w:hAnsi="仿宋" w:eastAsia="仿宋" w:cs="仿宋"/>
          <w:strike w:val="0"/>
          <w:dstrike w:val="0"/>
          <w:color w:val="auto"/>
          <w:sz w:val="24"/>
          <w:szCs w:val="24"/>
          <w:lang w:val="en-US" w:eastAsia="zh-CN"/>
        </w:rPr>
        <w:t>乙方</w:t>
      </w:r>
      <w:r>
        <w:rPr>
          <w:rFonts w:hint="eastAsia" w:ascii="仿宋" w:hAnsi="仿宋" w:eastAsia="仿宋" w:cs="仿宋"/>
          <w:color w:val="auto"/>
          <w:sz w:val="24"/>
          <w:szCs w:val="24"/>
        </w:rPr>
        <w:t>应在接到</w:t>
      </w:r>
      <w:r>
        <w:rPr>
          <w:rFonts w:hint="eastAsia" w:ascii="仿宋" w:hAnsi="仿宋" w:eastAsia="仿宋" w:cs="仿宋"/>
          <w:strike w:val="0"/>
          <w:dstrike w:val="0"/>
          <w:color w:val="auto"/>
          <w:sz w:val="24"/>
          <w:szCs w:val="24"/>
          <w:lang w:val="en-US" w:eastAsia="zh-CN"/>
        </w:rPr>
        <w:t>甲方</w:t>
      </w:r>
      <w:r>
        <w:rPr>
          <w:rFonts w:hint="eastAsia" w:ascii="仿宋" w:hAnsi="仿宋" w:eastAsia="仿宋" w:cs="仿宋"/>
          <w:color w:val="auto"/>
          <w:sz w:val="24"/>
          <w:szCs w:val="24"/>
        </w:rPr>
        <w:t>的通知2个日历日内负责调换或补齐。</w:t>
      </w:r>
    </w:p>
    <w:p w14:paraId="5164C045">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7、包装要求</w:t>
      </w:r>
    </w:p>
    <w:p w14:paraId="2FAAE9CB">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7-1、除合同另有规定外，乙方提供的全部产品，均应按标准保护措施进行包装，并确保产品安全无损运抵甲方指定地点。</w:t>
      </w:r>
    </w:p>
    <w:p w14:paraId="244DA46C">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7-2、每一个包装箱内应附一份详细装箱单和质量合格证。</w:t>
      </w:r>
    </w:p>
    <w:p w14:paraId="28220E4D">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8、乙方负责对</w:t>
      </w:r>
      <w:r>
        <w:rPr>
          <w:rFonts w:hint="eastAsia" w:ascii="仿宋" w:hAnsi="仿宋" w:eastAsia="仿宋" w:cs="仿宋"/>
          <w:strike w:val="0"/>
          <w:dstrike w:val="0"/>
          <w:color w:val="auto"/>
          <w:sz w:val="24"/>
          <w:szCs w:val="24"/>
          <w:lang w:val="en-US" w:eastAsia="zh-CN"/>
        </w:rPr>
        <w:t>保质期</w:t>
      </w:r>
      <w:r>
        <w:rPr>
          <w:rFonts w:hint="eastAsia" w:ascii="仿宋" w:hAnsi="仿宋" w:eastAsia="仿宋" w:cs="仿宋"/>
          <w:color w:val="auto"/>
          <w:sz w:val="24"/>
          <w:szCs w:val="24"/>
        </w:rPr>
        <w:t>小于6个月的产品进行调换。</w:t>
      </w:r>
    </w:p>
    <w:p w14:paraId="65375C4D">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2" w:firstLineChars="200"/>
        <w:jc w:val="both"/>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七、货物运输</w:t>
      </w:r>
    </w:p>
    <w:p w14:paraId="6B91E9B2">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1、乙方负责所有货物的运输。确保货物安全、完整到达使用地点，运杂费用包含在总</w:t>
      </w:r>
      <w:r>
        <w:rPr>
          <w:rFonts w:hint="eastAsia" w:ascii="仿宋" w:hAnsi="仿宋" w:eastAsia="仿宋" w:cs="仿宋"/>
          <w:color w:val="auto"/>
          <w:sz w:val="24"/>
          <w:szCs w:val="24"/>
        </w:rPr>
        <w:t>价内，包括货物从供货地点到</w:t>
      </w:r>
      <w:r>
        <w:rPr>
          <w:rFonts w:hint="eastAsia" w:ascii="仿宋" w:hAnsi="仿宋" w:eastAsia="仿宋" w:cs="仿宋"/>
          <w:strike w:val="0"/>
          <w:dstrike w:val="0"/>
          <w:color w:val="auto"/>
          <w:sz w:val="24"/>
          <w:szCs w:val="24"/>
          <w:lang w:val="en-US" w:eastAsia="zh-CN"/>
        </w:rPr>
        <w:t>甲方</w:t>
      </w:r>
      <w:r>
        <w:rPr>
          <w:rFonts w:hint="eastAsia" w:ascii="仿宋" w:hAnsi="仿宋" w:eastAsia="仿宋" w:cs="仿宋"/>
          <w:color w:val="auto"/>
          <w:sz w:val="24"/>
          <w:szCs w:val="24"/>
        </w:rPr>
        <w:t>指定地点的运输费、保险费、搬运费等相关费用。</w:t>
      </w:r>
    </w:p>
    <w:p w14:paraId="3A304C30">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2、所供货物在运输、搬运、安装的过程中，造成甲方财产损失和人员受伤的，由乙方为甲方修复、更新和治疗,所产生费用由乙方承担。</w:t>
      </w:r>
    </w:p>
    <w:p w14:paraId="0B148C74">
      <w:pPr>
        <w:pStyle w:val="3"/>
        <w:pageBreakBefore w:val="0"/>
        <w:widowControl w:val="0"/>
        <w:kinsoku/>
        <w:wordWrap/>
        <w:overflowPunct/>
        <w:topLinePunct w:val="0"/>
        <w:autoSpaceDE/>
        <w:autoSpaceDN/>
        <w:bidi w:val="0"/>
        <w:spacing w:beforeAutospacing="0" w:afterAutospacing="0" w:line="360" w:lineRule="exact"/>
        <w:ind w:firstLine="480" w:firstLineChars="200"/>
        <w:rPr>
          <w:rFonts w:hint="eastAsia"/>
          <w:color w:val="auto"/>
        </w:rPr>
      </w:pPr>
      <w:r>
        <w:rPr>
          <w:rFonts w:hint="eastAsia"/>
          <w:color w:val="auto"/>
        </w:rPr>
        <w:t>八、双方的权利和义务</w:t>
      </w:r>
    </w:p>
    <w:p w14:paraId="29DA61ED">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（一）甲方权利和义务</w:t>
      </w:r>
    </w:p>
    <w:p w14:paraId="5A11DB5F">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1、甲方有权要求乙方按约定的时间交付货物。甲方可提前2个日历日变更收货的具体时间。若需变更收货时间，甲方可采用电话、微信、电子邮件等方式通知乙方。</w:t>
      </w:r>
    </w:p>
    <w:p w14:paraId="208DB50F">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2、甲方有权知晓乙方选用的运输方式、乙方拟定的发货时间及甲方预计的收货时间，以方便甲方安排人员收货和验收。</w:t>
      </w:r>
    </w:p>
    <w:p w14:paraId="286194BB">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3、甲方有权按照实际需求确定乙方供货数量，结算价格根据实际供货数量确定。</w:t>
      </w:r>
    </w:p>
    <w:p w14:paraId="21DCD822">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4、甲方有权知晓乙方单位出现的可能影响合同正常履行的情形，若此种情形造成乙方履约能力受到影响，甲方可中止合同，待此种不利影响消除。如乙方涉及违约诉讼、企业经营不善等。</w:t>
      </w:r>
    </w:p>
    <w:p w14:paraId="574F7E15">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5、乙方办理结算手续需按照甲方要求提供增值税发票及收货单、验收单等资料。</w:t>
      </w:r>
    </w:p>
    <w:p w14:paraId="1F7976A9">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6、合同履行期间，应遵守合同约定，未约定的部分不得违背甲方和乙方的交易习惯，有必要的应签订补充协议。</w:t>
      </w:r>
    </w:p>
    <w:p w14:paraId="26E80D39">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（二）乙方权利和义务</w:t>
      </w:r>
    </w:p>
    <w:p w14:paraId="5418A0E7">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1、乙方应全力支持甲方组织无偿献血活动，并积极配合参与无偿献血事业的宣传、献血和志愿者活动。</w:t>
      </w:r>
    </w:p>
    <w:p w14:paraId="759A588E">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2、乙方应保证甲方在使用该产品或其任何一部分时免受第三方提出侵犯其专利权、商标权或工业设计权的起诉。</w:t>
      </w:r>
    </w:p>
    <w:p w14:paraId="20FF8D29">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3、产品质量不符合合同规定时，乙方负责包退包换。由于上述原因导致延误交货时间的，每延误一日，乙方应按逾期交货部分产品价款总值的日万分之五向甲方偿付违约金。</w:t>
      </w:r>
    </w:p>
    <w:p w14:paraId="3593DE17">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除不可抗力因素外，如果乙方不能按照合同规定的时间交货，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39F1769F">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赔偿金。每延误一日的违约金按迟交货物交货价或未提供服务的服务费用的日万分之五计收，直至交货或提供服务为止。误期赔偿费的最高限额为合同价格的10%。一旦达到误期赔偿费的最高限额或发生误期供货≧3次或合同规定的交货日期后10天内仍未能交货，甲方可终止合同。乙方除退还已收取的货款外，还应向采购人偿付政府采购合同总金额5%的违约金。</w:t>
      </w:r>
    </w:p>
    <w:p w14:paraId="1EE3BCDE">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6、如乙方未能按照招标参数要求提供甲方所需货物，且七个日历日内无法整改，甲方可终止合同。</w:t>
      </w:r>
    </w:p>
    <w:p w14:paraId="42EABC04">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7、如遇不可抗拒因素，甲方可终止合同。</w:t>
      </w:r>
    </w:p>
    <w:p w14:paraId="3B86D7E8">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九、技术及售后服务</w:t>
      </w:r>
    </w:p>
    <w:p w14:paraId="465A06AA">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1、技术服务承诺：乙方免费提供必要的技术支持，包括现场指导、集中授课、专项操作等。</w:t>
      </w:r>
    </w:p>
    <w:p w14:paraId="24FAD37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2、售后服务承诺：甲方发现有质量或可能影响质量问题时，乙方接到通知后4小时内到达现场解决问题。</w:t>
      </w:r>
    </w:p>
    <w:p w14:paraId="6A84A183">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赔付</w:t>
      </w:r>
      <w:r>
        <w:rPr>
          <w:rFonts w:hint="eastAsia" w:ascii="仿宋" w:hAnsi="仿宋" w:eastAsia="仿宋" w:cs="仿宋"/>
          <w:color w:val="auto"/>
          <w:sz w:val="24"/>
          <w:szCs w:val="24"/>
        </w:rPr>
        <w:t>承诺：</w:t>
      </w:r>
      <w:r>
        <w:rPr>
          <w:rFonts w:hint="eastAsia" w:ascii="仿宋" w:hAnsi="仿宋" w:eastAsia="仿宋" w:cs="仿宋"/>
          <w:color w:val="auto"/>
          <w:sz w:val="24"/>
          <w:szCs w:val="24"/>
          <w:lang w:eastAsia="zh-CN"/>
        </w:rPr>
        <w:t>由于</w:t>
      </w:r>
      <w:r>
        <w:rPr>
          <w:rFonts w:hint="eastAsia" w:ascii="仿宋" w:hAnsi="仿宋" w:eastAsia="仿宋" w:cs="仿宋"/>
          <w:color w:val="auto"/>
          <w:sz w:val="24"/>
          <w:szCs w:val="24"/>
        </w:rPr>
        <w:t>机器原因或耗材质量问题导致的耗材报废，按照以下</w:t>
      </w:r>
      <w:r>
        <w:rPr>
          <w:rFonts w:hint="eastAsia" w:ascii="仿宋" w:hAnsi="仿宋" w:eastAsia="仿宋" w:cs="仿宋"/>
          <w:color w:val="auto"/>
          <w:sz w:val="24"/>
          <w:szCs w:val="24"/>
          <w:lang w:eastAsia="zh-CN"/>
        </w:rPr>
        <w:t>不同情况</w:t>
      </w:r>
      <w:r>
        <w:rPr>
          <w:rFonts w:hint="eastAsia" w:ascii="仿宋" w:hAnsi="仿宋" w:eastAsia="仿宋" w:cs="仿宋"/>
          <w:color w:val="auto"/>
          <w:sz w:val="24"/>
          <w:szCs w:val="24"/>
        </w:rPr>
        <w:t>进行耗材赔付：</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如未连接献血者或病人，则按1:1赔付；</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如已连接献血者或病人，则按1:2赔付；</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如已连接献血者或病人，同时导致采集产品报废，则按1:3赔付。</w:t>
      </w:r>
    </w:p>
    <w:p w14:paraId="2BAEBC03">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每个耗材报废后如实填写耗材报废登记表或通过网络上报耗材报废原因。每季度末由采集部门和厂家进行赔付数量核对及耗材赔付登记表的收集，并根据报废情况填写耗材报废单，统计后上报总务科，由总务科督促厂家进行赔付。</w:t>
      </w:r>
    </w:p>
    <w:p w14:paraId="290115EB">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十、违约责任</w:t>
      </w:r>
    </w:p>
    <w:p w14:paraId="6B87EBF4">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1、按《中华人民共和国民法典》中的条款执行。</w:t>
      </w:r>
    </w:p>
    <w:p w14:paraId="230A5A54">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2、如乙方事先未征得甲方同意并得到甲方的谅解而单方面延迟交货，将按违约终止合同。</w:t>
      </w:r>
    </w:p>
    <w:p w14:paraId="4C75430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3、违约终止合同：</w:t>
      </w:r>
      <w:r>
        <w:rPr>
          <w:rFonts w:hint="eastAsia" w:ascii="仿宋" w:hAnsi="仿宋" w:eastAsia="仿宋" w:cs="仿宋"/>
          <w:color w:val="auto"/>
          <w:sz w:val="24"/>
          <w:szCs w:val="24"/>
        </w:rPr>
        <w:t>卖方所交付货物及伴随的服务不符合其投标承诺，存在偷工减料、以次充好情形的，采购人要求更换一次后仍不符合约定的，采购人有权解除政府采购合同，并将有关情况上报政府采购监管部门处理。</w:t>
      </w:r>
    </w:p>
    <w:p w14:paraId="6970E3E9">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十一、争议的解决</w:t>
      </w:r>
    </w:p>
    <w:p w14:paraId="48D714DD">
      <w:pPr>
        <w:keepNext w:val="0"/>
        <w:keepLines w:val="0"/>
        <w:pageBreakBefore w:val="0"/>
        <w:widowControl w:val="0"/>
        <w:kinsoku/>
        <w:wordWrap/>
        <w:overflowPunct/>
        <w:topLinePunct w:val="0"/>
        <w:autoSpaceDE/>
        <w:autoSpaceDN/>
        <w:adjustRightInd/>
        <w:snapToGrid/>
        <w:spacing w:line="360" w:lineRule="exact"/>
        <w:ind w:firstLine="480" w:firstLineChars="200"/>
        <w:jc w:val="both"/>
        <w:rPr>
          <w:rFonts w:hint="eastAsia" w:ascii="仿宋" w:hAnsi="仿宋" w:eastAsia="仿宋" w:cs="仿宋"/>
          <w:color w:val="auto"/>
          <w:sz w:val="24"/>
          <w:szCs w:val="24"/>
        </w:rPr>
      </w:pPr>
      <w:r>
        <w:rPr>
          <w:rFonts w:hint="eastAsia" w:ascii="仿宋" w:hAnsi="仿宋" w:eastAsia="仿宋" w:cs="仿宋"/>
          <w:color w:val="auto"/>
          <w:sz w:val="24"/>
          <w:szCs w:val="24"/>
        </w:rPr>
        <w:t>1、甲乙双方所有争议应先采取友好协商的解决方式。</w:t>
      </w:r>
    </w:p>
    <w:p w14:paraId="4BB73DF8">
      <w:pPr>
        <w:keepNext w:val="0"/>
        <w:keepLines w:val="0"/>
        <w:pageBreakBefore w:val="0"/>
        <w:widowControl w:val="0"/>
        <w:kinsoku/>
        <w:wordWrap/>
        <w:overflowPunct/>
        <w:topLinePunct w:val="0"/>
        <w:autoSpaceDE/>
        <w:autoSpaceDN/>
        <w:adjustRightInd/>
        <w:snapToGrid/>
        <w:spacing w:line="360" w:lineRule="exact"/>
        <w:ind w:firstLine="480" w:firstLineChars="200"/>
        <w:jc w:val="both"/>
        <w:rPr>
          <w:rFonts w:hint="eastAsia" w:ascii="仿宋" w:hAnsi="仿宋" w:eastAsia="仿宋" w:cs="仿宋"/>
          <w:color w:val="auto"/>
          <w:sz w:val="24"/>
          <w:szCs w:val="24"/>
        </w:rPr>
      </w:pPr>
      <w:r>
        <w:rPr>
          <w:rFonts w:hint="eastAsia" w:ascii="仿宋" w:hAnsi="仿宋" w:eastAsia="仿宋" w:cs="仿宋"/>
          <w:color w:val="auto"/>
          <w:sz w:val="24"/>
          <w:szCs w:val="24"/>
        </w:rPr>
        <w:t>2、协商未达成一致意见的，</w:t>
      </w:r>
      <w:r>
        <w:rPr>
          <w:rFonts w:hint="eastAsia" w:ascii="仿宋" w:hAnsi="仿宋" w:eastAsia="仿宋" w:cs="仿宋"/>
          <w:color w:val="auto"/>
          <w:sz w:val="24"/>
          <w:szCs w:val="24"/>
          <w:lang w:val="en-US" w:eastAsia="zh-CN"/>
        </w:rPr>
        <w:t>任何一方可以向甲方所在地西安市雁塔区人民法院提起诉讼</w:t>
      </w:r>
      <w:r>
        <w:rPr>
          <w:rFonts w:hint="eastAsia" w:ascii="仿宋" w:hAnsi="仿宋" w:eastAsia="仿宋" w:cs="仿宋"/>
          <w:color w:val="auto"/>
          <w:sz w:val="24"/>
          <w:szCs w:val="24"/>
        </w:rPr>
        <w:t>。</w:t>
      </w:r>
    </w:p>
    <w:p w14:paraId="04E674A9">
      <w:pPr>
        <w:keepNext w:val="0"/>
        <w:keepLines w:val="0"/>
        <w:pageBreakBefore w:val="0"/>
        <w:widowControl w:val="0"/>
        <w:kinsoku/>
        <w:wordWrap/>
        <w:overflowPunct/>
        <w:topLinePunct w:val="0"/>
        <w:autoSpaceDE/>
        <w:autoSpaceDN/>
        <w:adjustRightInd/>
        <w:snapToGrid/>
        <w:spacing w:line="360" w:lineRule="exact"/>
        <w:ind w:firstLine="480" w:firstLineChars="200"/>
        <w:jc w:val="both"/>
        <w:rPr>
          <w:rFonts w:hint="eastAsia" w:ascii="仿宋" w:hAnsi="仿宋" w:eastAsia="仿宋" w:cs="仿宋"/>
          <w:color w:val="auto"/>
          <w:sz w:val="24"/>
          <w:szCs w:val="24"/>
        </w:rPr>
      </w:pPr>
      <w:r>
        <w:rPr>
          <w:rFonts w:hint="eastAsia" w:ascii="仿宋" w:hAnsi="仿宋" w:eastAsia="仿宋" w:cs="仿宋"/>
          <w:color w:val="auto"/>
          <w:sz w:val="24"/>
          <w:szCs w:val="24"/>
        </w:rPr>
        <w:t>3、一方违约导致另一方采取法律途径维护合法权益的，违约方应承担守约方为维护权利而支出的</w:t>
      </w:r>
      <w:r>
        <w:rPr>
          <w:rFonts w:hint="eastAsia" w:ascii="仿宋" w:hAnsi="仿宋" w:eastAsia="仿宋" w:cs="仿宋"/>
          <w:color w:val="auto"/>
          <w:sz w:val="24"/>
          <w:szCs w:val="24"/>
          <w:lang w:val="en-US" w:eastAsia="zh-CN"/>
        </w:rPr>
        <w:t>案件受理费</w:t>
      </w:r>
      <w:r>
        <w:rPr>
          <w:rFonts w:hint="eastAsia" w:ascii="仿宋" w:hAnsi="仿宋" w:eastAsia="仿宋" w:cs="仿宋"/>
          <w:color w:val="auto"/>
          <w:sz w:val="24"/>
          <w:szCs w:val="24"/>
        </w:rPr>
        <w:t>、保全费、保全保险费、律师费、交通费等全部</w:t>
      </w:r>
      <w:r>
        <w:rPr>
          <w:rFonts w:hint="eastAsia" w:ascii="仿宋" w:hAnsi="仿宋" w:eastAsia="仿宋" w:cs="仿宋"/>
          <w:color w:val="auto"/>
          <w:sz w:val="24"/>
          <w:szCs w:val="24"/>
          <w:lang w:val="en-US" w:eastAsia="zh-CN"/>
        </w:rPr>
        <w:t>诉讼</w:t>
      </w:r>
      <w:r>
        <w:rPr>
          <w:rFonts w:hint="eastAsia" w:ascii="仿宋" w:hAnsi="仿宋" w:eastAsia="仿宋" w:cs="仿宋"/>
          <w:color w:val="auto"/>
          <w:sz w:val="24"/>
          <w:szCs w:val="24"/>
        </w:rPr>
        <w:t>费用。在</w:t>
      </w:r>
      <w:r>
        <w:rPr>
          <w:rFonts w:hint="eastAsia" w:ascii="仿宋" w:hAnsi="仿宋" w:eastAsia="仿宋" w:cs="仿宋"/>
          <w:color w:val="auto"/>
          <w:sz w:val="24"/>
          <w:szCs w:val="24"/>
          <w:lang w:val="en-US" w:eastAsia="zh-CN"/>
        </w:rPr>
        <w:t>诉讼</w:t>
      </w:r>
      <w:r>
        <w:rPr>
          <w:rFonts w:hint="eastAsia" w:ascii="仿宋" w:hAnsi="仿宋" w:eastAsia="仿宋" w:cs="仿宋"/>
          <w:color w:val="auto"/>
          <w:sz w:val="24"/>
          <w:szCs w:val="24"/>
        </w:rPr>
        <w:t>期间，除双方有争议的部分，合同其他部分应该继续履行。</w:t>
      </w:r>
    </w:p>
    <w:p w14:paraId="471F08F5">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十二、合同生效</w:t>
      </w:r>
    </w:p>
    <w:p w14:paraId="75F0A92C">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本合同</w:t>
      </w:r>
      <w:r>
        <w:rPr>
          <w:rFonts w:hint="eastAsia" w:ascii="仿宋" w:hAnsi="仿宋" w:eastAsia="仿宋" w:cs="仿宋"/>
          <w:color w:val="auto"/>
          <w:sz w:val="24"/>
          <w:szCs w:val="24"/>
        </w:rPr>
        <w:t>一式</w:t>
      </w:r>
      <w:r>
        <w:rPr>
          <w:rFonts w:hint="eastAsia" w:ascii="仿宋" w:hAnsi="仿宋" w:eastAsia="仿宋" w:cs="仿宋"/>
          <w:color w:val="auto"/>
          <w:sz w:val="24"/>
          <w:szCs w:val="24"/>
          <w:lang w:eastAsia="zh-CN"/>
        </w:rPr>
        <w:t>陆</w:t>
      </w:r>
      <w:r>
        <w:rPr>
          <w:rFonts w:hint="eastAsia" w:ascii="仿宋" w:hAnsi="仿宋" w:eastAsia="仿宋" w:cs="仿宋"/>
          <w:color w:val="auto"/>
          <w:sz w:val="24"/>
          <w:szCs w:val="24"/>
        </w:rPr>
        <w:t>份，</w:t>
      </w:r>
      <w:r>
        <w:rPr>
          <w:rFonts w:hint="eastAsia" w:ascii="仿宋" w:hAnsi="仿宋" w:eastAsia="仿宋" w:cs="仿宋"/>
          <w:color w:val="auto"/>
          <w:sz w:val="24"/>
          <w:szCs w:val="24"/>
        </w:rPr>
        <w:t>甲方</w:t>
      </w:r>
      <w:r>
        <w:rPr>
          <w:rFonts w:hint="eastAsia" w:ascii="仿宋" w:hAnsi="仿宋" w:eastAsia="仿宋" w:cs="仿宋"/>
          <w:color w:val="auto"/>
          <w:sz w:val="24"/>
          <w:szCs w:val="24"/>
          <w:lang w:eastAsia="zh-CN"/>
        </w:rPr>
        <w:t>肆</w:t>
      </w:r>
      <w:r>
        <w:rPr>
          <w:rFonts w:hint="eastAsia" w:ascii="仿宋" w:hAnsi="仿宋" w:eastAsia="仿宋" w:cs="仿宋"/>
          <w:color w:val="auto"/>
          <w:sz w:val="24"/>
          <w:szCs w:val="24"/>
        </w:rPr>
        <w:t>份，</w:t>
      </w:r>
      <w:r>
        <w:rPr>
          <w:rFonts w:hint="eastAsia" w:ascii="仿宋" w:hAnsi="仿宋" w:eastAsia="仿宋" w:cs="仿宋"/>
          <w:color w:val="auto"/>
          <w:sz w:val="24"/>
          <w:szCs w:val="24"/>
        </w:rPr>
        <w:t>乙方</w:t>
      </w:r>
      <w:r>
        <w:rPr>
          <w:rFonts w:hint="eastAsia" w:ascii="仿宋" w:hAnsi="仿宋" w:eastAsia="仿宋" w:cs="仿宋"/>
          <w:color w:val="auto"/>
          <w:sz w:val="24"/>
          <w:szCs w:val="24"/>
          <w:lang w:eastAsia="zh-CN"/>
        </w:rPr>
        <w:t>贰</w:t>
      </w:r>
      <w:r>
        <w:rPr>
          <w:rFonts w:hint="eastAsia" w:ascii="仿宋" w:hAnsi="仿宋" w:eastAsia="仿宋" w:cs="仿宋"/>
          <w:color w:val="auto"/>
          <w:sz w:val="24"/>
          <w:szCs w:val="24"/>
        </w:rPr>
        <w:t>份</w:t>
      </w:r>
      <w:r>
        <w:rPr>
          <w:rFonts w:hint="eastAsia" w:ascii="仿宋" w:hAnsi="仿宋" w:eastAsia="仿宋" w:cs="仿宋"/>
          <w:color w:val="auto"/>
          <w:sz w:val="24"/>
          <w:szCs w:val="24"/>
        </w:rPr>
        <w:t>。</w:t>
      </w:r>
      <w:r>
        <w:rPr>
          <w:rFonts w:hint="eastAsia" w:ascii="仿宋" w:hAnsi="仿宋" w:eastAsia="仿宋" w:cs="仿宋"/>
          <w:color w:val="auto"/>
          <w:sz w:val="24"/>
          <w:szCs w:val="24"/>
        </w:rPr>
        <w:t>本合同经各方盖章后生效，执行期自</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u w:val="none"/>
        </w:rPr>
        <w:t>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u w:val="none"/>
        </w:rPr>
        <w:t>月</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u w:val="none"/>
          <w:lang w:val="en-US" w:eastAsia="zh-CN"/>
        </w:rPr>
        <w:t>日</w:t>
      </w:r>
      <w:r>
        <w:rPr>
          <w:rFonts w:hint="eastAsia" w:ascii="仿宋" w:hAnsi="仿宋" w:eastAsia="仿宋" w:cs="仿宋"/>
          <w:color w:val="auto"/>
          <w:sz w:val="24"/>
          <w:szCs w:val="24"/>
          <w:u w:val="none"/>
        </w:rPr>
        <w:t>起至</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u w:val="none"/>
        </w:rPr>
        <w:t>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u w:val="none"/>
        </w:rPr>
        <w:t>月</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u w:val="none"/>
          <w:lang w:val="en-US" w:eastAsia="zh-CN"/>
        </w:rPr>
        <w:t>日</w:t>
      </w:r>
      <w:r>
        <w:rPr>
          <w:rFonts w:hint="eastAsia" w:ascii="仿宋" w:hAnsi="仿宋" w:eastAsia="仿宋" w:cs="仿宋"/>
          <w:color w:val="auto"/>
          <w:sz w:val="24"/>
          <w:szCs w:val="24"/>
        </w:rPr>
        <w:t>。若执行期内，本合同总价款全部支付完成时或本合同标的物经政府采购流程再次成交并签订合同时，则该合同自动终止。</w:t>
      </w:r>
    </w:p>
    <w:p w14:paraId="1A6F98C9">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十三、其他事项</w:t>
      </w:r>
    </w:p>
    <w:p w14:paraId="74C41149">
      <w:pPr>
        <w:spacing w:line="360" w:lineRule="exact"/>
        <w:ind w:firstLine="480" w:firstLineChars="200"/>
        <w:jc w:val="both"/>
        <w:rPr>
          <w:rFonts w:hint="eastAsia" w:ascii="仿宋" w:hAnsi="仿宋" w:eastAsia="仿宋" w:cs="仿宋"/>
          <w:color w:val="auto"/>
          <w:sz w:val="24"/>
          <w:szCs w:val="24"/>
        </w:rPr>
      </w:pPr>
      <w:r>
        <w:rPr>
          <w:rFonts w:hint="eastAsia" w:ascii="仿宋" w:hAnsi="仿宋" w:eastAsia="仿宋" w:cs="仿宋"/>
          <w:color w:val="auto"/>
          <w:sz w:val="24"/>
          <w:szCs w:val="24"/>
        </w:rPr>
        <w:t>（一）中标通知书、中标方的投标文件及澄清或承诺、招标文件等均为合同的有效组成部分，具有同等法律效力。上述文件如有冲突，以排列在前的优先。合同未尽事宜，由甲、乙双方协商确认后，作为合同补充，与原合同具有同等法律效力。</w:t>
      </w:r>
    </w:p>
    <w:p w14:paraId="22BFCD50">
      <w:pPr>
        <w:spacing w:line="360" w:lineRule="exact"/>
        <w:ind w:firstLine="480" w:firstLineChars="200"/>
        <w:jc w:val="both"/>
        <w:rPr>
          <w:rFonts w:hint="eastAsia" w:ascii="仿宋" w:hAnsi="仿宋" w:eastAsia="仿宋" w:cs="仿宋"/>
          <w:color w:val="auto"/>
          <w:sz w:val="24"/>
          <w:szCs w:val="24"/>
        </w:rPr>
      </w:pPr>
      <w:r>
        <w:rPr>
          <w:rFonts w:hint="eastAsia" w:ascii="仿宋" w:hAnsi="仿宋" w:eastAsia="仿宋" w:cs="仿宋"/>
          <w:color w:val="auto"/>
          <w:sz w:val="24"/>
          <w:szCs w:val="24"/>
        </w:rPr>
        <w:t>（二）合同一经签订，不得擅自变更、中止或终止合同。对确需变更、调整或中止、终止合同的，应按规定履行相应的手续。</w:t>
      </w:r>
    </w:p>
    <w:p w14:paraId="06F6BB57">
      <w:pPr>
        <w:spacing w:line="360" w:lineRule="exact"/>
        <w:ind w:firstLine="480" w:firstLineChars="200"/>
        <w:jc w:val="both"/>
        <w:rPr>
          <w:rFonts w:hint="eastAsia" w:ascii="仿宋" w:hAnsi="仿宋" w:eastAsia="仿宋" w:cs="仿宋"/>
          <w:color w:val="auto"/>
          <w:sz w:val="24"/>
          <w:szCs w:val="24"/>
        </w:rPr>
      </w:pPr>
      <w:r>
        <w:rPr>
          <w:rFonts w:hint="eastAsia" w:ascii="仿宋" w:hAnsi="仿宋" w:eastAsia="仿宋" w:cs="仿宋"/>
          <w:color w:val="auto"/>
          <w:sz w:val="24"/>
          <w:szCs w:val="24"/>
        </w:rPr>
        <w:t>（三）本合同按照中华人民共和国的现行法律进行解释。</w:t>
      </w:r>
    </w:p>
    <w:p w14:paraId="0FB41579">
      <w:pPr>
        <w:spacing w:line="360" w:lineRule="exact"/>
        <w:ind w:firstLine="480" w:firstLineChars="200"/>
        <w:jc w:val="both"/>
        <w:rPr>
          <w:rFonts w:hint="eastAsia" w:ascii="仿宋" w:hAnsi="仿宋" w:eastAsia="仿宋" w:cs="仿宋"/>
          <w:color w:val="auto"/>
          <w:sz w:val="24"/>
          <w:szCs w:val="24"/>
        </w:rPr>
      </w:pPr>
      <w:r>
        <w:rPr>
          <w:rFonts w:hint="eastAsia" w:ascii="仿宋" w:hAnsi="仿宋" w:eastAsia="仿宋" w:cs="仿宋"/>
          <w:color w:val="auto"/>
          <w:sz w:val="24"/>
          <w:szCs w:val="24"/>
        </w:rPr>
        <w:t>（四）采购合同条款和招标文件、采购文件、投标文件的内容不一致的，以采购合同内容为准。</w:t>
      </w:r>
    </w:p>
    <w:tbl>
      <w:tblPr>
        <w:tblStyle w:val="5"/>
        <w:tblW w:w="8520"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0"/>
        <w:gridCol w:w="4220"/>
      </w:tblGrid>
      <w:tr w14:paraId="7C596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4300" w:type="dxa"/>
            <w:tcBorders>
              <w:top w:val="single" w:color="auto" w:sz="4" w:space="0"/>
              <w:left w:val="single" w:color="auto" w:sz="4" w:space="0"/>
              <w:bottom w:val="single" w:color="auto" w:sz="4" w:space="0"/>
              <w:right w:val="single" w:color="auto" w:sz="4" w:space="0"/>
            </w:tcBorders>
            <w:noWrap w:val="0"/>
            <w:vAlign w:val="center"/>
          </w:tcPr>
          <w:p w14:paraId="19153C0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CESI宋体-GB2312" w:hAnsi="CESI宋体-GB2312" w:eastAsia="CESI宋体-GB2312" w:cs="CESI宋体-GB2312"/>
                <w:color w:val="auto"/>
                <w:sz w:val="21"/>
                <w:szCs w:val="21"/>
              </w:rPr>
            </w:pPr>
            <w:r>
              <w:rPr>
                <w:rFonts w:hint="eastAsia" w:ascii="CESI宋体-GB2312" w:hAnsi="CESI宋体-GB2312" w:eastAsia="CESI宋体-GB2312" w:cs="CESI宋体-GB2312"/>
                <w:color w:val="auto"/>
                <w:sz w:val="21"/>
                <w:szCs w:val="21"/>
              </w:rPr>
              <w:t>甲  方</w:t>
            </w:r>
          </w:p>
        </w:tc>
        <w:tc>
          <w:tcPr>
            <w:tcW w:w="4220" w:type="dxa"/>
            <w:tcBorders>
              <w:top w:val="single" w:color="auto" w:sz="4" w:space="0"/>
              <w:left w:val="single" w:color="auto" w:sz="4" w:space="0"/>
              <w:bottom w:val="single" w:color="auto" w:sz="4" w:space="0"/>
              <w:right w:val="single" w:color="auto" w:sz="4" w:space="0"/>
            </w:tcBorders>
            <w:noWrap w:val="0"/>
            <w:vAlign w:val="center"/>
          </w:tcPr>
          <w:p w14:paraId="7CE6C50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CESI宋体-GB2312" w:hAnsi="CESI宋体-GB2312" w:eastAsia="CESI宋体-GB2312" w:cs="CESI宋体-GB2312"/>
                <w:color w:val="auto"/>
                <w:sz w:val="21"/>
                <w:szCs w:val="21"/>
              </w:rPr>
            </w:pPr>
            <w:r>
              <w:rPr>
                <w:rFonts w:hint="eastAsia" w:ascii="CESI宋体-GB2312" w:hAnsi="CESI宋体-GB2312" w:eastAsia="CESI宋体-GB2312" w:cs="CESI宋体-GB2312"/>
                <w:color w:val="auto"/>
                <w:sz w:val="21"/>
                <w:szCs w:val="21"/>
              </w:rPr>
              <w:t>乙  方</w:t>
            </w:r>
          </w:p>
        </w:tc>
      </w:tr>
      <w:tr w14:paraId="04FCE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4300" w:type="dxa"/>
            <w:tcBorders>
              <w:top w:val="single" w:color="auto" w:sz="4" w:space="0"/>
              <w:left w:val="single" w:color="auto" w:sz="4" w:space="0"/>
              <w:bottom w:val="single" w:color="auto" w:sz="4" w:space="0"/>
              <w:right w:val="single" w:color="auto" w:sz="4" w:space="0"/>
            </w:tcBorders>
            <w:noWrap w:val="0"/>
            <w:vAlign w:val="center"/>
          </w:tcPr>
          <w:p w14:paraId="42EF541E">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 w:val="21"/>
                <w:szCs w:val="21"/>
              </w:rPr>
            </w:pPr>
            <w:r>
              <w:rPr>
                <w:rFonts w:hint="eastAsia" w:ascii="CESI宋体-GB2312" w:hAnsi="CESI宋体-GB2312" w:eastAsia="CESI宋体-GB2312" w:cs="CESI宋体-GB2312"/>
                <w:color w:val="auto"/>
                <w:sz w:val="21"/>
                <w:szCs w:val="21"/>
              </w:rPr>
              <w:t>采购人名称（盖章）</w:t>
            </w:r>
          </w:p>
          <w:p w14:paraId="0DECEB2B">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 w:val="21"/>
                <w:szCs w:val="21"/>
              </w:rPr>
            </w:pPr>
            <w:r>
              <w:rPr>
                <w:rFonts w:hint="eastAsia" w:ascii="CESI宋体-GB2312" w:hAnsi="CESI宋体-GB2312" w:eastAsia="CESI宋体-GB2312" w:cs="CESI宋体-GB2312"/>
                <w:color w:val="auto"/>
                <w:kern w:val="0"/>
                <w:sz w:val="21"/>
                <w:szCs w:val="21"/>
              </w:rPr>
              <w:t>西安市中心血站</w:t>
            </w:r>
          </w:p>
        </w:tc>
        <w:tc>
          <w:tcPr>
            <w:tcW w:w="4220" w:type="dxa"/>
            <w:tcBorders>
              <w:top w:val="single" w:color="auto" w:sz="4" w:space="0"/>
              <w:left w:val="single" w:color="auto" w:sz="4" w:space="0"/>
              <w:bottom w:val="single" w:color="auto" w:sz="4" w:space="0"/>
              <w:right w:val="single" w:color="auto" w:sz="4" w:space="0"/>
            </w:tcBorders>
            <w:noWrap w:val="0"/>
            <w:vAlign w:val="center"/>
          </w:tcPr>
          <w:p w14:paraId="417C080D">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 w:val="21"/>
                <w:szCs w:val="21"/>
              </w:rPr>
            </w:pPr>
            <w:r>
              <w:rPr>
                <w:rFonts w:hint="eastAsia" w:ascii="CESI宋体-GB2312" w:hAnsi="CESI宋体-GB2312" w:eastAsia="CESI宋体-GB2312" w:cs="CESI宋体-GB2312"/>
                <w:color w:val="auto"/>
                <w:sz w:val="21"/>
                <w:szCs w:val="21"/>
              </w:rPr>
              <w:t>供应商全称（盖章）</w:t>
            </w:r>
          </w:p>
          <w:p w14:paraId="778D4DA2">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 w:val="21"/>
                <w:szCs w:val="21"/>
              </w:rPr>
            </w:pPr>
          </w:p>
        </w:tc>
      </w:tr>
      <w:tr w14:paraId="29E19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trPr>
        <w:tc>
          <w:tcPr>
            <w:tcW w:w="4300" w:type="dxa"/>
            <w:tcBorders>
              <w:top w:val="single" w:color="auto" w:sz="4" w:space="0"/>
              <w:left w:val="single" w:color="auto" w:sz="4" w:space="0"/>
              <w:bottom w:val="single" w:color="auto" w:sz="4" w:space="0"/>
              <w:right w:val="single" w:color="auto" w:sz="4" w:space="0"/>
            </w:tcBorders>
            <w:noWrap w:val="0"/>
            <w:vAlign w:val="center"/>
          </w:tcPr>
          <w:p w14:paraId="11B2F233">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 w:val="21"/>
                <w:szCs w:val="21"/>
              </w:rPr>
            </w:pPr>
            <w:r>
              <w:rPr>
                <w:rFonts w:hint="eastAsia" w:ascii="CESI宋体-GB2312" w:hAnsi="CESI宋体-GB2312" w:eastAsia="CESI宋体-GB2312" w:cs="CESI宋体-GB2312"/>
                <w:color w:val="auto"/>
                <w:sz w:val="21"/>
                <w:szCs w:val="21"/>
              </w:rPr>
              <w:t>地址：朱雀大街407号</w:t>
            </w:r>
          </w:p>
        </w:tc>
        <w:tc>
          <w:tcPr>
            <w:tcW w:w="4220" w:type="dxa"/>
            <w:tcBorders>
              <w:top w:val="single" w:color="auto" w:sz="4" w:space="0"/>
              <w:left w:val="single" w:color="auto" w:sz="4" w:space="0"/>
              <w:bottom w:val="single" w:color="auto" w:sz="4" w:space="0"/>
              <w:right w:val="single" w:color="auto" w:sz="4" w:space="0"/>
            </w:tcBorders>
            <w:noWrap w:val="0"/>
            <w:vAlign w:val="center"/>
          </w:tcPr>
          <w:p w14:paraId="1AB2C6AD">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 w:val="21"/>
                <w:szCs w:val="21"/>
              </w:rPr>
            </w:pPr>
            <w:r>
              <w:rPr>
                <w:rFonts w:hint="eastAsia" w:ascii="CESI宋体-GB2312" w:hAnsi="CESI宋体-GB2312" w:eastAsia="CESI宋体-GB2312" w:cs="CESI宋体-GB2312"/>
                <w:color w:val="auto"/>
                <w:sz w:val="21"/>
                <w:szCs w:val="21"/>
              </w:rPr>
              <w:t>地址：</w:t>
            </w:r>
          </w:p>
        </w:tc>
      </w:tr>
      <w:tr w14:paraId="12289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4300" w:type="dxa"/>
            <w:tcBorders>
              <w:top w:val="single" w:color="auto" w:sz="4" w:space="0"/>
              <w:left w:val="single" w:color="auto" w:sz="4" w:space="0"/>
              <w:bottom w:val="single" w:color="auto" w:sz="4" w:space="0"/>
              <w:right w:val="single" w:color="auto" w:sz="4" w:space="0"/>
            </w:tcBorders>
            <w:noWrap w:val="0"/>
            <w:vAlign w:val="center"/>
          </w:tcPr>
          <w:p w14:paraId="0F66D4D6">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 w:val="21"/>
                <w:szCs w:val="21"/>
              </w:rPr>
            </w:pPr>
            <w:r>
              <w:rPr>
                <w:rFonts w:hint="eastAsia" w:ascii="CESI宋体-GB2312" w:hAnsi="CESI宋体-GB2312" w:eastAsia="CESI宋体-GB2312" w:cs="CESI宋体-GB2312"/>
                <w:color w:val="auto"/>
                <w:sz w:val="21"/>
                <w:szCs w:val="21"/>
              </w:rPr>
              <w:t>法定代表人</w:t>
            </w:r>
          </w:p>
          <w:p w14:paraId="7BCA5972">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kern w:val="2"/>
                <w:sz w:val="21"/>
                <w:szCs w:val="21"/>
                <w:lang w:val="en-US" w:eastAsia="zh-CN" w:bidi="ar-SA"/>
              </w:rPr>
            </w:pPr>
            <w:r>
              <w:rPr>
                <w:rFonts w:hint="eastAsia" w:ascii="CESI宋体-GB2312" w:hAnsi="CESI宋体-GB2312" w:eastAsia="CESI宋体-GB2312" w:cs="CESI宋体-GB2312"/>
                <w:color w:val="auto"/>
                <w:sz w:val="21"/>
                <w:szCs w:val="21"/>
                <w:lang w:eastAsia="zh-CN"/>
              </w:rPr>
              <w:t>或</w:t>
            </w:r>
            <w:r>
              <w:rPr>
                <w:rFonts w:hint="eastAsia" w:ascii="CESI宋体-GB2312" w:hAnsi="CESI宋体-GB2312" w:eastAsia="CESI宋体-GB2312" w:cs="CESI宋体-GB2312"/>
                <w:color w:val="auto"/>
                <w:sz w:val="21"/>
                <w:szCs w:val="21"/>
              </w:rPr>
              <w:t xml:space="preserve">授权代表： </w:t>
            </w:r>
          </w:p>
        </w:tc>
        <w:tc>
          <w:tcPr>
            <w:tcW w:w="4220" w:type="dxa"/>
            <w:tcBorders>
              <w:top w:val="single" w:color="auto" w:sz="4" w:space="0"/>
              <w:left w:val="single" w:color="auto" w:sz="4" w:space="0"/>
              <w:bottom w:val="single" w:color="auto" w:sz="4" w:space="0"/>
              <w:right w:val="single" w:color="auto" w:sz="4" w:space="0"/>
            </w:tcBorders>
            <w:noWrap w:val="0"/>
            <w:vAlign w:val="center"/>
          </w:tcPr>
          <w:p w14:paraId="4C2EAB49">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 w:val="21"/>
                <w:szCs w:val="21"/>
              </w:rPr>
            </w:pPr>
            <w:r>
              <w:rPr>
                <w:rFonts w:hint="eastAsia" w:ascii="CESI宋体-GB2312" w:hAnsi="CESI宋体-GB2312" w:eastAsia="CESI宋体-GB2312" w:cs="CESI宋体-GB2312"/>
                <w:color w:val="auto"/>
                <w:sz w:val="21"/>
                <w:szCs w:val="21"/>
              </w:rPr>
              <w:t>法定代表人</w:t>
            </w:r>
          </w:p>
          <w:p w14:paraId="490FBA90">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kern w:val="2"/>
                <w:sz w:val="21"/>
                <w:szCs w:val="21"/>
                <w:lang w:val="en-US" w:eastAsia="zh-CN" w:bidi="ar-SA"/>
              </w:rPr>
            </w:pPr>
            <w:r>
              <w:rPr>
                <w:rFonts w:hint="eastAsia" w:ascii="CESI宋体-GB2312" w:hAnsi="CESI宋体-GB2312" w:eastAsia="CESI宋体-GB2312" w:cs="CESI宋体-GB2312"/>
                <w:color w:val="auto"/>
                <w:sz w:val="21"/>
                <w:szCs w:val="21"/>
                <w:lang w:eastAsia="zh-CN"/>
              </w:rPr>
              <w:t>或</w:t>
            </w:r>
            <w:r>
              <w:rPr>
                <w:rFonts w:hint="eastAsia" w:ascii="CESI宋体-GB2312" w:hAnsi="CESI宋体-GB2312" w:eastAsia="CESI宋体-GB2312" w:cs="CESI宋体-GB2312"/>
                <w:color w:val="auto"/>
                <w:sz w:val="21"/>
                <w:szCs w:val="21"/>
              </w:rPr>
              <w:t>授权代表：</w:t>
            </w:r>
          </w:p>
        </w:tc>
      </w:tr>
      <w:tr w14:paraId="63A49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noWrap w:val="0"/>
            <w:vAlign w:val="center"/>
          </w:tcPr>
          <w:p w14:paraId="446D2C7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 w:val="21"/>
                <w:szCs w:val="21"/>
              </w:rPr>
            </w:pPr>
          </w:p>
        </w:tc>
        <w:tc>
          <w:tcPr>
            <w:tcW w:w="4220" w:type="dxa"/>
            <w:tcBorders>
              <w:top w:val="single" w:color="auto" w:sz="4" w:space="0"/>
              <w:left w:val="single" w:color="auto" w:sz="4" w:space="0"/>
              <w:bottom w:val="single" w:color="auto" w:sz="4" w:space="0"/>
              <w:right w:val="single" w:color="auto" w:sz="4" w:space="0"/>
            </w:tcBorders>
            <w:noWrap w:val="0"/>
            <w:vAlign w:val="center"/>
          </w:tcPr>
          <w:p w14:paraId="02160B44">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 w:val="21"/>
                <w:szCs w:val="21"/>
              </w:rPr>
            </w:pPr>
            <w:r>
              <w:rPr>
                <w:rFonts w:hint="eastAsia" w:ascii="CESI宋体-GB2312" w:hAnsi="CESI宋体-GB2312" w:eastAsia="CESI宋体-GB2312" w:cs="CESI宋体-GB2312"/>
                <w:color w:val="auto"/>
                <w:sz w:val="21"/>
                <w:szCs w:val="21"/>
              </w:rPr>
              <w:t xml:space="preserve">供应商拥有者性别：  </w:t>
            </w:r>
            <w:r>
              <w:rPr>
                <w:rFonts w:hint="eastAsia" w:ascii="CESI宋体-GB2312" w:hAnsi="CESI宋体-GB2312" w:eastAsia="CESI宋体-GB2312" w:cs="CESI宋体-GB2312"/>
                <w:color w:val="auto"/>
                <w:sz w:val="21"/>
                <w:szCs w:val="21"/>
              </w:rPr>
              <w:t xml:space="preserve">男   女  </w:t>
            </w:r>
          </w:p>
        </w:tc>
      </w:tr>
      <w:tr w14:paraId="57C63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noWrap w:val="0"/>
            <w:vAlign w:val="center"/>
          </w:tcPr>
          <w:p w14:paraId="51184292">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 w:val="21"/>
                <w:szCs w:val="21"/>
              </w:rPr>
            </w:pPr>
          </w:p>
        </w:tc>
        <w:tc>
          <w:tcPr>
            <w:tcW w:w="4220" w:type="dxa"/>
            <w:tcBorders>
              <w:top w:val="single" w:color="auto" w:sz="4" w:space="0"/>
              <w:left w:val="single" w:color="auto" w:sz="4" w:space="0"/>
              <w:bottom w:val="single" w:color="auto" w:sz="4" w:space="0"/>
              <w:right w:val="single" w:color="auto" w:sz="4" w:space="0"/>
            </w:tcBorders>
            <w:noWrap w:val="0"/>
            <w:vAlign w:val="center"/>
          </w:tcPr>
          <w:p w14:paraId="50A9DDB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 w:val="21"/>
                <w:szCs w:val="21"/>
              </w:rPr>
            </w:pPr>
            <w:r>
              <w:rPr>
                <w:rFonts w:hint="eastAsia" w:ascii="CESI宋体-GB2312" w:hAnsi="CESI宋体-GB2312" w:eastAsia="CESI宋体-GB2312" w:cs="CESI宋体-GB2312"/>
                <w:color w:val="auto"/>
                <w:sz w:val="21"/>
                <w:szCs w:val="21"/>
              </w:rPr>
              <w:t xml:space="preserve">供应商规模：  </w:t>
            </w:r>
            <w:r>
              <w:rPr>
                <w:rFonts w:hint="eastAsia" w:ascii="CESI宋体-GB2312" w:hAnsi="CESI宋体-GB2312" w:eastAsia="CESI宋体-GB2312" w:cs="CESI宋体-GB2312"/>
                <w:color w:val="auto"/>
                <w:sz w:val="21"/>
                <w:szCs w:val="21"/>
              </w:rPr>
              <w:t>大  中  小  微  其他</w:t>
            </w:r>
          </w:p>
        </w:tc>
      </w:tr>
      <w:tr w14:paraId="2B3AA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noWrap w:val="0"/>
            <w:vAlign w:val="center"/>
          </w:tcPr>
          <w:p w14:paraId="54F1E82A">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 w:val="21"/>
                <w:szCs w:val="21"/>
                <w:lang w:val="en-US" w:eastAsia="zh-CN"/>
              </w:rPr>
            </w:pPr>
            <w:r>
              <w:rPr>
                <w:rFonts w:hint="eastAsia" w:ascii="CESI宋体-GB2312" w:hAnsi="CESI宋体-GB2312" w:eastAsia="CESI宋体-GB2312" w:cs="CESI宋体-GB2312"/>
                <w:color w:val="auto"/>
                <w:sz w:val="21"/>
                <w:szCs w:val="21"/>
              </w:rPr>
              <w:t>电话：029-85</w:t>
            </w:r>
            <w:r>
              <w:rPr>
                <w:rFonts w:hint="eastAsia" w:ascii="CESI宋体-GB2312" w:hAnsi="CESI宋体-GB2312" w:eastAsia="CESI宋体-GB2312" w:cs="CESI宋体-GB2312"/>
                <w:color w:val="auto"/>
                <w:sz w:val="21"/>
                <w:szCs w:val="21"/>
                <w:lang w:val="en-US" w:eastAsia="zh-CN"/>
              </w:rPr>
              <w:t>212746</w:t>
            </w:r>
          </w:p>
        </w:tc>
        <w:tc>
          <w:tcPr>
            <w:tcW w:w="4220" w:type="dxa"/>
            <w:tcBorders>
              <w:top w:val="single" w:color="auto" w:sz="4" w:space="0"/>
              <w:left w:val="single" w:color="auto" w:sz="4" w:space="0"/>
              <w:bottom w:val="single" w:color="auto" w:sz="4" w:space="0"/>
              <w:right w:val="single" w:color="auto" w:sz="4" w:space="0"/>
            </w:tcBorders>
            <w:noWrap w:val="0"/>
            <w:vAlign w:val="center"/>
          </w:tcPr>
          <w:p w14:paraId="4C7B7F9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 w:val="21"/>
                <w:szCs w:val="21"/>
              </w:rPr>
            </w:pPr>
            <w:r>
              <w:rPr>
                <w:rFonts w:hint="eastAsia" w:ascii="CESI宋体-GB2312" w:hAnsi="CESI宋体-GB2312" w:eastAsia="CESI宋体-GB2312" w:cs="CESI宋体-GB2312"/>
                <w:color w:val="auto"/>
                <w:sz w:val="21"/>
                <w:szCs w:val="21"/>
              </w:rPr>
              <w:t>电话：</w:t>
            </w:r>
          </w:p>
        </w:tc>
      </w:tr>
      <w:tr w14:paraId="637D6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noWrap w:val="0"/>
            <w:vAlign w:val="center"/>
          </w:tcPr>
          <w:p w14:paraId="2B67391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CESI宋体-GB2312" w:hAnsi="CESI宋体-GB2312" w:eastAsia="CESI宋体-GB2312" w:cs="CESI宋体-GB2312"/>
                <w:color w:val="auto"/>
                <w:sz w:val="21"/>
                <w:szCs w:val="21"/>
                <w:lang w:eastAsia="zh-CN"/>
              </w:rPr>
            </w:pPr>
            <w:r>
              <w:rPr>
                <w:rFonts w:hint="eastAsia" w:ascii="CESI宋体-GB2312" w:hAnsi="CESI宋体-GB2312" w:eastAsia="CESI宋体-GB2312" w:cs="CESI宋体-GB2312"/>
                <w:color w:val="auto"/>
                <w:sz w:val="21"/>
                <w:szCs w:val="21"/>
                <w:lang w:eastAsia="zh-CN"/>
              </w:rPr>
              <w:t>开户银行：招商银行西影路支行</w:t>
            </w:r>
          </w:p>
        </w:tc>
        <w:tc>
          <w:tcPr>
            <w:tcW w:w="4220" w:type="dxa"/>
            <w:tcBorders>
              <w:top w:val="single" w:color="auto" w:sz="4" w:space="0"/>
              <w:left w:val="single" w:color="auto" w:sz="4" w:space="0"/>
              <w:bottom w:val="single" w:color="auto" w:sz="4" w:space="0"/>
              <w:right w:val="single" w:color="auto" w:sz="4" w:space="0"/>
            </w:tcBorders>
            <w:noWrap w:val="0"/>
            <w:vAlign w:val="center"/>
          </w:tcPr>
          <w:p w14:paraId="17C31D6F">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color w:val="auto"/>
                <w:sz w:val="21"/>
                <w:szCs w:val="21"/>
                <w:lang w:eastAsia="zh-CN"/>
              </w:rPr>
            </w:pPr>
            <w:r>
              <w:rPr>
                <w:rFonts w:hint="eastAsia" w:ascii="CESI宋体-GB2312" w:hAnsi="CESI宋体-GB2312" w:eastAsia="CESI宋体-GB2312" w:cs="CESI宋体-GB2312"/>
                <w:color w:val="auto"/>
                <w:sz w:val="21"/>
                <w:szCs w:val="21"/>
                <w:lang w:eastAsia="zh-CN"/>
              </w:rPr>
              <w:t>开户银行：</w:t>
            </w:r>
          </w:p>
        </w:tc>
      </w:tr>
      <w:tr w14:paraId="78E4A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noWrap w:val="0"/>
            <w:vAlign w:val="center"/>
          </w:tcPr>
          <w:p w14:paraId="78ED36F8">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color w:val="auto"/>
                <w:sz w:val="21"/>
                <w:szCs w:val="21"/>
                <w:lang w:val="en-US" w:eastAsia="zh-CN"/>
              </w:rPr>
            </w:pPr>
            <w:r>
              <w:rPr>
                <w:rFonts w:hint="eastAsia" w:ascii="CESI宋体-GB2312" w:hAnsi="CESI宋体-GB2312" w:eastAsia="CESI宋体-GB2312" w:cs="CESI宋体-GB2312"/>
                <w:color w:val="auto"/>
                <w:sz w:val="21"/>
                <w:szCs w:val="21"/>
                <w:lang w:eastAsia="zh-CN"/>
              </w:rPr>
              <w:t>账号：</w:t>
            </w:r>
            <w:r>
              <w:rPr>
                <w:rFonts w:hint="eastAsia" w:ascii="CESI宋体-GB2312" w:hAnsi="CESI宋体-GB2312" w:eastAsia="CESI宋体-GB2312" w:cs="CESI宋体-GB2312"/>
                <w:color w:val="auto"/>
                <w:sz w:val="21"/>
                <w:szCs w:val="21"/>
                <w:lang w:val="en-US" w:eastAsia="zh-CN"/>
              </w:rPr>
              <w:t>129904468910201</w:t>
            </w:r>
          </w:p>
        </w:tc>
        <w:tc>
          <w:tcPr>
            <w:tcW w:w="4220" w:type="dxa"/>
            <w:tcBorders>
              <w:top w:val="single" w:color="auto" w:sz="4" w:space="0"/>
              <w:left w:val="single" w:color="auto" w:sz="4" w:space="0"/>
              <w:bottom w:val="single" w:color="auto" w:sz="4" w:space="0"/>
              <w:right w:val="single" w:color="auto" w:sz="4" w:space="0"/>
            </w:tcBorders>
            <w:noWrap w:val="0"/>
            <w:vAlign w:val="center"/>
          </w:tcPr>
          <w:p w14:paraId="2873DFB0">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color w:val="auto"/>
                <w:sz w:val="21"/>
                <w:szCs w:val="21"/>
                <w:lang w:eastAsia="zh-CN"/>
              </w:rPr>
            </w:pPr>
            <w:r>
              <w:rPr>
                <w:rFonts w:hint="eastAsia" w:ascii="CESI宋体-GB2312" w:hAnsi="CESI宋体-GB2312" w:eastAsia="CESI宋体-GB2312" w:cs="CESI宋体-GB2312"/>
                <w:color w:val="auto"/>
                <w:sz w:val="21"/>
                <w:szCs w:val="21"/>
                <w:lang w:eastAsia="zh-CN"/>
              </w:rPr>
              <w:t>帐号：</w:t>
            </w:r>
          </w:p>
        </w:tc>
      </w:tr>
      <w:tr w14:paraId="30416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noWrap w:val="0"/>
            <w:vAlign w:val="center"/>
          </w:tcPr>
          <w:p w14:paraId="50DEDD7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CESI宋体-GB2312" w:hAnsi="CESI宋体-GB2312" w:eastAsia="CESI宋体-GB2312" w:cs="CESI宋体-GB2312"/>
                <w:color w:val="auto"/>
                <w:sz w:val="21"/>
                <w:szCs w:val="21"/>
                <w:lang w:eastAsia="zh-CN"/>
              </w:rPr>
            </w:pPr>
            <w:r>
              <w:rPr>
                <w:rFonts w:hint="eastAsia" w:ascii="CESI宋体-GB2312" w:hAnsi="CESI宋体-GB2312" w:eastAsia="CESI宋体-GB2312" w:cs="CESI宋体-GB2312"/>
                <w:color w:val="auto"/>
                <w:sz w:val="21"/>
                <w:szCs w:val="21"/>
                <w:lang w:eastAsia="zh-CN"/>
              </w:rPr>
              <w:t>纳税人识别号：</w:t>
            </w:r>
            <w:r>
              <w:rPr>
                <w:rFonts w:hint="eastAsia" w:ascii="CESI宋体-GB2312" w:hAnsi="CESI宋体-GB2312" w:eastAsia="CESI宋体-GB2312" w:cs="CESI宋体-GB2312"/>
                <w:color w:val="auto"/>
                <w:sz w:val="21"/>
                <w:szCs w:val="21"/>
                <w:lang w:val="en-US" w:eastAsia="zh-CN"/>
              </w:rPr>
              <w:t>126101004372030973</w:t>
            </w:r>
          </w:p>
        </w:tc>
        <w:tc>
          <w:tcPr>
            <w:tcW w:w="4220" w:type="dxa"/>
            <w:tcBorders>
              <w:top w:val="single" w:color="auto" w:sz="4" w:space="0"/>
              <w:left w:val="single" w:color="auto" w:sz="4" w:space="0"/>
              <w:bottom w:val="single" w:color="auto" w:sz="4" w:space="0"/>
              <w:right w:val="single" w:color="auto" w:sz="4" w:space="0"/>
            </w:tcBorders>
            <w:noWrap w:val="0"/>
            <w:vAlign w:val="center"/>
          </w:tcPr>
          <w:p w14:paraId="0C9F1A1A">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color w:val="auto"/>
                <w:sz w:val="21"/>
                <w:szCs w:val="21"/>
                <w:lang w:eastAsia="zh-CN"/>
              </w:rPr>
            </w:pPr>
            <w:r>
              <w:rPr>
                <w:rFonts w:hint="eastAsia" w:ascii="CESI宋体-GB2312" w:hAnsi="CESI宋体-GB2312" w:eastAsia="CESI宋体-GB2312" w:cs="CESI宋体-GB2312"/>
                <w:color w:val="auto"/>
                <w:sz w:val="21"/>
                <w:szCs w:val="21"/>
                <w:lang w:eastAsia="zh-CN"/>
              </w:rPr>
              <w:t>纳税人识别号：</w:t>
            </w:r>
          </w:p>
        </w:tc>
      </w:tr>
      <w:tr w14:paraId="77314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8520" w:type="dxa"/>
            <w:gridSpan w:val="2"/>
            <w:tcBorders>
              <w:top w:val="single" w:color="auto" w:sz="4" w:space="0"/>
              <w:left w:val="single" w:color="auto" w:sz="4" w:space="0"/>
              <w:bottom w:val="single" w:color="auto" w:sz="4" w:space="0"/>
              <w:right w:val="single" w:color="auto" w:sz="4" w:space="0"/>
            </w:tcBorders>
            <w:noWrap w:val="0"/>
            <w:vAlign w:val="center"/>
          </w:tcPr>
          <w:p w14:paraId="2CDF457F">
            <w:pPr>
              <w:keepNext w:val="0"/>
              <w:keepLines w:val="0"/>
              <w:pageBreakBefore w:val="0"/>
              <w:widowControl w:val="0"/>
              <w:kinsoku/>
              <w:wordWrap/>
              <w:overflowPunct/>
              <w:topLinePunct w:val="0"/>
              <w:autoSpaceDE/>
              <w:autoSpaceDN/>
              <w:adjustRightInd/>
              <w:snapToGrid/>
              <w:spacing w:line="240" w:lineRule="exact"/>
              <w:jc w:val="center"/>
              <w:rPr>
                <w:rFonts w:hint="eastAsia" w:ascii="CESI宋体-GB2312" w:hAnsi="CESI宋体-GB2312" w:eastAsia="CESI宋体-GB2312" w:cs="CESI宋体-GB2312"/>
                <w:color w:val="auto"/>
                <w:sz w:val="21"/>
                <w:szCs w:val="21"/>
                <w:lang w:eastAsia="zh-CN"/>
              </w:rPr>
            </w:pPr>
            <w:r>
              <w:rPr>
                <w:rFonts w:hint="eastAsia" w:ascii="CESI宋体-GB2312" w:hAnsi="CESI宋体-GB2312" w:eastAsia="CESI宋体-GB2312" w:cs="CESI宋体-GB2312"/>
                <w:color w:val="auto"/>
                <w:sz w:val="21"/>
                <w:szCs w:val="21"/>
                <w:lang w:eastAsia="zh-CN"/>
              </w:rPr>
              <w:t>签订日期：      年   月   日</w:t>
            </w:r>
          </w:p>
        </w:tc>
      </w:tr>
    </w:tbl>
    <w:p w14:paraId="42D82603">
      <w:pPr>
        <w:pStyle w:val="7"/>
        <w:rPr>
          <w:rFonts w:hint="eastAsia"/>
          <w:color w:val="auto"/>
          <w:lang w:val="en-US" w:eastAsia="zh-Hans"/>
        </w:rPr>
      </w:pPr>
      <w:r>
        <w:rPr>
          <w:rFonts w:ascii="仿宋_GB2312" w:hAnsi="仿宋_GB2312" w:eastAsia="仿宋_GB2312" w:cs="仿宋_GB2312"/>
          <w:color w:val="auto"/>
        </w:rPr>
        <w:br w:type="textWrapping"/>
      </w:r>
    </w:p>
    <w:p w14:paraId="46F4A8BB">
      <w:pPr>
        <w:rPr>
          <w:color w:val="auto"/>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CESI宋体-GB2312">
    <w:altName w:val="宋体"/>
    <w:panose1 w:val="02000500000000000000"/>
    <w:charset w:val="86"/>
    <w:family w:val="script"/>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46AF5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96405C">
                          <w:pPr>
                            <w:pStyle w:val="4"/>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396405C">
                    <w:pPr>
                      <w:pStyle w:val="4"/>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E40944"/>
    <w:rsid w:val="32E40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auto"/>
      <w:kern w:val="0"/>
      <w:sz w:val="21"/>
      <w:szCs w:val="21"/>
      <w:lang w:val="en-US" w:eastAsia="zh-CN" w:bidi="ar-SA"/>
    </w:rPr>
  </w:style>
  <w:style w:type="paragraph" w:styleId="2">
    <w:name w:val="heading 1"/>
    <w:basedOn w:val="1"/>
    <w:next w:val="1"/>
    <w:link w:val="8"/>
    <w:qFormat/>
    <w:uiPriority w:val="0"/>
    <w:pPr>
      <w:keepNext/>
      <w:keepLines/>
      <w:autoSpaceDE w:val="0"/>
      <w:autoSpaceDN w:val="0"/>
      <w:adjustRightInd w:val="0"/>
      <w:snapToGrid w:val="0"/>
      <w:spacing w:beforeLines="50" w:afterLines="50" w:line="360" w:lineRule="auto"/>
      <w:jc w:val="center"/>
      <w:outlineLvl w:val="0"/>
    </w:pPr>
    <w:rPr>
      <w:rFonts w:ascii="宋体" w:hAnsi="宋体" w:eastAsia="仿宋"/>
      <w:b/>
      <w:kern w:val="44"/>
      <w:sz w:val="32"/>
      <w:szCs w:val="20"/>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标题 1 字符"/>
    <w:link w:val="2"/>
    <w:qFormat/>
    <w:uiPriority w:val="0"/>
    <w:rPr>
      <w:rFonts w:ascii="宋体" w:hAnsi="宋体" w:eastAsia="仿宋"/>
      <w:b/>
      <w:kern w:val="44"/>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2025-06-04T08:58:00Z</dcterms:created>
  <dc:creator>过氧乙酸</dc:creator>
  <cp:lastModifiedBy>过氧乙酸</cp:lastModifiedBy>
  <dcterms:modified xsi:type="dcterms:W3CDTF">2025-06-04T08:58:40Z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566504E4232447628478CD09C632B591_11</vt:lpwstr>
  </property>
  <property fmtid="{D5CDD505-2E9C-101B-9397-08002B2CF9AE}" pid="4" name="KSOTemplateDocerSaveRecord">
    <vt:lpwstr>eyJoZGlkIjoiNjU1YWYzNjMxY2UwMWY3MDg0MDIxNjMwZDg3MGVjYzkiLCJ1c2VySWQiOiIzNjk1MTUwMDYifQ==</vt:lpwstr>
  </property>
</Properties>
</file>