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96C4A">
      <w:pPr>
        <w:keepNext/>
        <w:keepLines/>
        <w:snapToGrid w:val="0"/>
        <w:spacing w:before="312" w:beforeLines="100" w:after="312" w:afterLines="100" w:line="360" w:lineRule="auto"/>
        <w:jc w:val="center"/>
        <w:outlineLvl w:val="9"/>
        <w:rPr>
          <w:rFonts w:hint="eastAsia" w:ascii="宋体" w:hAnsi="宋体" w:eastAsia="宋体" w:cs="仿宋_GB2312"/>
          <w:color w:val="000000"/>
          <w:sz w:val="44"/>
          <w:szCs w:val="44"/>
          <w:highlight w:val="none"/>
          <w:lang w:val="en-US" w:eastAsia="zh-CN"/>
        </w:rPr>
      </w:pPr>
    </w:p>
    <w:p w14:paraId="1D9EA610">
      <w:pPr>
        <w:keepNext/>
        <w:keepLines/>
        <w:snapToGrid w:val="0"/>
        <w:spacing w:before="312" w:beforeLines="100" w:after="312" w:afterLines="100" w:line="360" w:lineRule="auto"/>
        <w:jc w:val="center"/>
        <w:outlineLvl w:val="9"/>
        <w:rPr>
          <w:rFonts w:hint="eastAsia" w:ascii="宋体" w:hAnsi="宋体" w:eastAsia="宋体" w:cs="仿宋_GB2312"/>
          <w:color w:val="000000"/>
          <w:sz w:val="44"/>
          <w:szCs w:val="44"/>
          <w:highlight w:val="none"/>
          <w:lang w:val="en-US" w:eastAsia="zh-CN"/>
        </w:rPr>
      </w:pPr>
      <w:r>
        <w:rPr>
          <w:rFonts w:hint="eastAsia" w:ascii="宋体" w:hAnsi="宋体" w:eastAsia="宋体" w:cs="仿宋_GB2312"/>
          <w:color w:val="000000"/>
          <w:sz w:val="44"/>
          <w:szCs w:val="44"/>
          <w:highlight w:val="none"/>
          <w:lang w:val="en-US" w:eastAsia="zh-CN"/>
        </w:rPr>
        <w:t>西安市生态环境保护综合</w:t>
      </w:r>
      <w:bookmarkStart w:id="0" w:name="_GoBack"/>
      <w:bookmarkEnd w:id="0"/>
      <w:r>
        <w:rPr>
          <w:rFonts w:hint="eastAsia" w:ascii="宋体" w:hAnsi="宋体" w:eastAsia="宋体" w:cs="仿宋_GB2312"/>
          <w:color w:val="000000"/>
          <w:sz w:val="44"/>
          <w:szCs w:val="44"/>
          <w:highlight w:val="none"/>
          <w:lang w:val="en-US" w:eastAsia="zh-CN"/>
        </w:rPr>
        <w:t>执法支队</w:t>
      </w:r>
    </w:p>
    <w:p w14:paraId="10AED074">
      <w:pPr>
        <w:keepNext/>
        <w:keepLines/>
        <w:snapToGrid w:val="0"/>
        <w:spacing w:before="312" w:beforeLines="100" w:after="312" w:afterLines="100" w:line="360" w:lineRule="auto"/>
        <w:jc w:val="center"/>
        <w:outlineLvl w:val="9"/>
        <w:rPr>
          <w:rFonts w:hint="default" w:ascii="宋体" w:hAnsi="宋体" w:eastAsia="宋体" w:cs="仿宋_GB2312"/>
          <w:color w:val="000000"/>
          <w:sz w:val="44"/>
          <w:szCs w:val="44"/>
          <w:highlight w:val="none"/>
          <w:lang w:val="en-US" w:eastAsia="zh-CN"/>
        </w:rPr>
      </w:pPr>
      <w:r>
        <w:rPr>
          <w:rFonts w:hint="eastAsia" w:ascii="宋体" w:hAnsi="宋体" w:eastAsia="宋体" w:cs="仿宋_GB2312"/>
          <w:color w:val="000000"/>
          <w:sz w:val="44"/>
          <w:szCs w:val="44"/>
          <w:highlight w:val="none"/>
          <w:lang w:val="en-US" w:eastAsia="zh-CN"/>
        </w:rPr>
        <w:t>重点污染源自动监控平台运行维护项目</w:t>
      </w:r>
    </w:p>
    <w:p w14:paraId="5C0B0A39">
      <w:pPr>
        <w:keepNext/>
        <w:keepLines/>
        <w:snapToGrid w:val="0"/>
        <w:spacing w:before="312" w:beforeLines="100" w:after="312" w:afterLines="100" w:line="360" w:lineRule="auto"/>
        <w:jc w:val="center"/>
        <w:outlineLvl w:val="9"/>
        <w:rPr>
          <w:rFonts w:hint="eastAsia" w:ascii="宋体" w:hAnsi="宋体" w:eastAsia="宋体" w:cs="仿宋_GB2312"/>
          <w:color w:val="000000"/>
          <w:sz w:val="44"/>
          <w:szCs w:val="44"/>
          <w:highlight w:val="none"/>
          <w:lang w:val="en-US" w:eastAsia="zh-CN"/>
        </w:rPr>
      </w:pPr>
      <w:r>
        <w:rPr>
          <w:rFonts w:hint="eastAsia" w:ascii="宋体" w:hAnsi="宋体" w:eastAsia="宋体" w:cs="仿宋_GB2312"/>
          <w:color w:val="000000"/>
          <w:sz w:val="44"/>
          <w:szCs w:val="44"/>
          <w:highlight w:val="none"/>
          <w:lang w:val="en-US" w:eastAsia="zh-CN"/>
        </w:rPr>
        <w:t>合同书</w:t>
      </w:r>
    </w:p>
    <w:p w14:paraId="4472B63B">
      <w:pPr>
        <w:keepNext/>
        <w:keepLines/>
        <w:snapToGrid w:val="0"/>
        <w:spacing w:before="312" w:beforeLines="100" w:after="312" w:afterLines="100" w:line="360" w:lineRule="auto"/>
        <w:jc w:val="center"/>
        <w:outlineLvl w:val="9"/>
        <w:rPr>
          <w:rFonts w:ascii="仿宋_GB2312" w:hAnsi="仿宋_GB2312" w:eastAsia="仿宋_GB2312" w:cs="仿宋_GB2312"/>
          <w:bCs/>
          <w:color w:val="auto"/>
          <w:kern w:val="44"/>
          <w:sz w:val="36"/>
          <w:szCs w:val="36"/>
          <w:highlight w:val="none"/>
        </w:rPr>
      </w:pPr>
    </w:p>
    <w:p w14:paraId="709BEE88">
      <w:pPr>
        <w:keepNext/>
        <w:keepLines/>
        <w:snapToGrid w:val="0"/>
        <w:spacing w:before="312" w:beforeLines="100" w:after="312" w:afterLines="100" w:line="360" w:lineRule="auto"/>
        <w:jc w:val="center"/>
        <w:outlineLvl w:val="9"/>
        <w:rPr>
          <w:rFonts w:ascii="仿宋_GB2312" w:hAnsi="仿宋_GB2312" w:eastAsia="仿宋_GB2312" w:cs="仿宋_GB2312"/>
          <w:sz w:val="44"/>
          <w:szCs w:val="44"/>
          <w:highlight w:val="none"/>
        </w:rPr>
      </w:pPr>
    </w:p>
    <w:p w14:paraId="38947AC2">
      <w:pPr>
        <w:pStyle w:val="3"/>
        <w:rPr>
          <w:highlight w:val="none"/>
        </w:rPr>
      </w:pPr>
    </w:p>
    <w:p w14:paraId="36E98EDA">
      <w:pPr>
        <w:keepNext/>
        <w:keepLines/>
        <w:snapToGrid w:val="0"/>
        <w:spacing w:before="312" w:beforeLines="100" w:after="312" w:afterLines="100" w:line="360" w:lineRule="auto"/>
        <w:outlineLvl w:val="9"/>
        <w:rPr>
          <w:rFonts w:ascii="仿宋_GB2312" w:hAnsi="仿宋_GB2312" w:eastAsia="仿宋_GB2312" w:cs="仿宋_GB2312"/>
          <w:bCs/>
          <w:kern w:val="44"/>
          <w:sz w:val="32"/>
          <w:szCs w:val="32"/>
          <w:highlight w:val="none"/>
        </w:rPr>
      </w:pPr>
    </w:p>
    <w:p w14:paraId="658248E0">
      <w:pPr>
        <w:tabs>
          <w:tab w:val="left" w:pos="2520"/>
        </w:tabs>
        <w:snapToGrid w:val="0"/>
        <w:spacing w:line="360" w:lineRule="auto"/>
        <w:ind w:firstLine="1920" w:firstLineChars="600"/>
        <w:jc w:val="both"/>
        <w:rPr>
          <w:rFonts w:hint="eastAsia" w:ascii="宋体" w:hAnsi="宋体" w:cs="仿宋_GB2312"/>
          <w:color w:val="000000"/>
          <w:sz w:val="32"/>
          <w:szCs w:val="32"/>
          <w:highlight w:val="none"/>
        </w:rPr>
      </w:pPr>
      <w:r>
        <w:rPr>
          <w:rFonts w:hint="eastAsia" w:ascii="宋体" w:hAnsi="宋体" w:cs="仿宋_GB2312"/>
          <w:sz w:val="32"/>
          <w:szCs w:val="32"/>
          <w:highlight w:val="none"/>
        </w:rPr>
        <w:t>甲</w:t>
      </w:r>
      <w:r>
        <w:rPr>
          <w:rFonts w:ascii="宋体" w:hAnsi="宋体" w:cs="仿宋_GB2312"/>
          <w:sz w:val="32"/>
          <w:szCs w:val="32"/>
          <w:highlight w:val="none"/>
        </w:rPr>
        <w:t xml:space="preserve">  </w:t>
      </w:r>
      <w:r>
        <w:rPr>
          <w:rFonts w:hint="eastAsia" w:ascii="宋体" w:hAnsi="宋体" w:cs="仿宋_GB2312"/>
          <w:sz w:val="32"/>
          <w:szCs w:val="32"/>
          <w:highlight w:val="none"/>
        </w:rPr>
        <w:t>方：</w:t>
      </w:r>
    </w:p>
    <w:p w14:paraId="2DBE19D2">
      <w:pPr>
        <w:tabs>
          <w:tab w:val="left" w:pos="2520"/>
        </w:tabs>
        <w:snapToGrid w:val="0"/>
        <w:spacing w:line="360" w:lineRule="auto"/>
        <w:ind w:firstLine="1920" w:firstLineChars="600"/>
        <w:jc w:val="both"/>
        <w:rPr>
          <w:rFonts w:ascii="宋体" w:hAnsi="宋体" w:cs="仿宋_GB2312"/>
          <w:sz w:val="32"/>
          <w:szCs w:val="32"/>
          <w:highlight w:val="none"/>
        </w:rPr>
      </w:pPr>
      <w:r>
        <w:rPr>
          <w:rFonts w:hint="eastAsia" w:ascii="宋体" w:hAnsi="宋体" w:cs="仿宋_GB2312"/>
          <w:sz w:val="32"/>
          <w:szCs w:val="32"/>
          <w:highlight w:val="none"/>
        </w:rPr>
        <w:t>乙</w:t>
      </w:r>
      <w:r>
        <w:rPr>
          <w:rFonts w:ascii="宋体" w:hAnsi="宋体" w:cs="仿宋_GB2312"/>
          <w:sz w:val="32"/>
          <w:szCs w:val="32"/>
          <w:highlight w:val="none"/>
        </w:rPr>
        <w:t xml:space="preserve">  </w:t>
      </w:r>
      <w:r>
        <w:rPr>
          <w:rFonts w:hint="eastAsia" w:ascii="宋体" w:hAnsi="宋体" w:cs="仿宋_GB2312"/>
          <w:sz w:val="32"/>
          <w:szCs w:val="32"/>
          <w:highlight w:val="none"/>
        </w:rPr>
        <w:t>方：</w:t>
      </w:r>
    </w:p>
    <w:p w14:paraId="043291EA">
      <w:pPr>
        <w:tabs>
          <w:tab w:val="left" w:pos="2520"/>
        </w:tabs>
        <w:snapToGrid w:val="0"/>
        <w:spacing w:line="360" w:lineRule="auto"/>
        <w:ind w:firstLine="1920" w:firstLineChars="600"/>
        <w:jc w:val="both"/>
        <w:rPr>
          <w:rFonts w:hint="eastAsia" w:ascii="宋体" w:hAnsi="宋体" w:cs="仿宋_GB2312"/>
          <w:sz w:val="32"/>
          <w:szCs w:val="32"/>
          <w:highlight w:val="none"/>
        </w:rPr>
      </w:pPr>
      <w:r>
        <w:rPr>
          <w:rFonts w:hint="eastAsia" w:ascii="宋体" w:hAnsi="宋体" w:cs="仿宋_GB2312"/>
          <w:sz w:val="32"/>
          <w:szCs w:val="32"/>
          <w:highlight w:val="none"/>
        </w:rPr>
        <w:t>签约地点：</w:t>
      </w:r>
    </w:p>
    <w:p w14:paraId="7E63DA19">
      <w:pPr>
        <w:tabs>
          <w:tab w:val="left" w:pos="2520"/>
        </w:tabs>
        <w:snapToGrid w:val="0"/>
        <w:spacing w:line="360" w:lineRule="auto"/>
        <w:ind w:firstLine="1920" w:firstLineChars="600"/>
        <w:jc w:val="both"/>
        <w:rPr>
          <w:rFonts w:hint="eastAsia" w:ascii="宋体" w:hAnsi="宋体" w:cs="仿宋_GB2312"/>
          <w:sz w:val="32"/>
          <w:szCs w:val="32"/>
          <w:highlight w:val="none"/>
        </w:rPr>
      </w:pPr>
      <w:r>
        <w:rPr>
          <w:rFonts w:hint="eastAsia" w:ascii="宋体" w:hAnsi="宋体" w:cs="仿宋_GB2312"/>
          <w:sz w:val="32"/>
          <w:szCs w:val="32"/>
          <w:highlight w:val="none"/>
        </w:rPr>
        <w:t xml:space="preserve">时  间： </w:t>
      </w:r>
      <w:r>
        <w:rPr>
          <w:rFonts w:hint="eastAsia" w:ascii="宋体" w:hAnsi="宋体" w:cs="仿宋_GB2312"/>
          <w:sz w:val="32"/>
          <w:szCs w:val="32"/>
          <w:highlight w:val="none"/>
          <w:lang w:val="en-US" w:eastAsia="zh-CN"/>
        </w:rPr>
        <w:t xml:space="preserve"> </w:t>
      </w:r>
      <w:r>
        <w:rPr>
          <w:rFonts w:hint="eastAsia" w:ascii="宋体" w:hAnsi="宋体" w:cs="仿宋_GB2312"/>
          <w:sz w:val="32"/>
          <w:szCs w:val="32"/>
          <w:highlight w:val="none"/>
        </w:rPr>
        <w:t>年</w:t>
      </w:r>
      <w:r>
        <w:rPr>
          <w:rFonts w:hint="eastAsia" w:ascii="宋体" w:hAnsi="宋体" w:cs="仿宋_GB2312"/>
          <w:sz w:val="32"/>
          <w:szCs w:val="32"/>
          <w:highlight w:val="none"/>
          <w:lang w:val="en-US" w:eastAsia="zh-CN"/>
        </w:rPr>
        <w:t xml:space="preserve">  </w:t>
      </w:r>
      <w:r>
        <w:rPr>
          <w:rFonts w:hint="eastAsia" w:ascii="宋体" w:hAnsi="宋体" w:cs="仿宋_GB2312"/>
          <w:sz w:val="32"/>
          <w:szCs w:val="32"/>
          <w:highlight w:val="none"/>
        </w:rPr>
        <w:t>月</w:t>
      </w:r>
    </w:p>
    <w:p w14:paraId="3963C4A5">
      <w:pPr>
        <w:rPr>
          <w:rFonts w:ascii="仿宋_GB2312" w:hAnsi="仿宋_GB2312" w:eastAsia="仿宋_GB2312" w:cs="仿宋_GB2312"/>
          <w:b/>
          <w:bCs/>
          <w:kern w:val="44"/>
          <w:sz w:val="32"/>
          <w:szCs w:val="32"/>
          <w:highlight w:val="none"/>
        </w:rPr>
      </w:pPr>
      <w:r>
        <w:rPr>
          <w:rFonts w:ascii="仿宋_GB2312" w:hAnsi="仿宋_GB2312" w:eastAsia="仿宋_GB2312" w:cs="仿宋_GB2312"/>
          <w:b/>
          <w:bCs/>
          <w:kern w:val="44"/>
          <w:sz w:val="32"/>
          <w:szCs w:val="32"/>
          <w:highlight w:val="none"/>
        </w:rPr>
        <w:br w:type="page"/>
      </w:r>
    </w:p>
    <w:p w14:paraId="64E647AC">
      <w:pPr>
        <w:keepNext/>
        <w:keepLines/>
        <w:snapToGrid w:val="0"/>
        <w:spacing w:before="312" w:beforeLines="100" w:after="312" w:afterLines="100" w:line="360" w:lineRule="auto"/>
        <w:jc w:val="center"/>
        <w:outlineLvl w:val="9"/>
        <w:rPr>
          <w:rFonts w:ascii="仿宋_GB2312" w:hAnsi="仿宋_GB2312" w:eastAsia="仿宋_GB2312" w:cs="仿宋_GB2312"/>
          <w:b/>
          <w:bCs/>
          <w:kern w:val="44"/>
          <w:sz w:val="32"/>
          <w:szCs w:val="32"/>
          <w:highlight w:val="none"/>
        </w:rPr>
      </w:pPr>
      <w:r>
        <w:rPr>
          <w:rFonts w:hint="eastAsia" w:ascii="仿宋_GB2312" w:hAnsi="仿宋_GB2312" w:eastAsia="仿宋_GB2312" w:cs="仿宋_GB2312"/>
          <w:b/>
          <w:bCs/>
          <w:kern w:val="44"/>
          <w:sz w:val="32"/>
          <w:szCs w:val="32"/>
          <w:highlight w:val="none"/>
        </w:rPr>
        <w:t>政府采购合同</w:t>
      </w:r>
    </w:p>
    <w:p w14:paraId="2F38555E">
      <w:pPr>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项目编号：</w:t>
      </w:r>
    </w:p>
    <w:p w14:paraId="1B2BC77F">
      <w:pPr>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签订地点： </w:t>
      </w:r>
    </w:p>
    <w:p w14:paraId="77E51A87">
      <w:pPr>
        <w:snapToGrid w:val="0"/>
        <w:spacing w:line="360" w:lineRule="auto"/>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签订时间：</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月</w:t>
      </w:r>
    </w:p>
    <w:p w14:paraId="0E12477E">
      <w:pPr>
        <w:snapToGrid w:val="0"/>
        <w:spacing w:line="360" w:lineRule="auto"/>
        <w:ind w:firstLine="480" w:firstLineChars="200"/>
        <w:rPr>
          <w:rFonts w:hint="eastAsia" w:asciiTheme="minorEastAsia" w:hAnsiTheme="minorEastAsia" w:eastAsiaTheme="minorEastAsia" w:cstheme="minorEastAsia"/>
          <w:color w:val="000000"/>
          <w:sz w:val="24"/>
          <w:szCs w:val="24"/>
          <w:highlight w:val="none"/>
          <w:u w:val="single"/>
          <w:lang w:val="en-US" w:eastAsia="zh-CN"/>
        </w:rPr>
      </w:pPr>
      <w:r>
        <w:rPr>
          <w:rFonts w:hint="eastAsia" w:asciiTheme="minorEastAsia" w:hAnsiTheme="minorEastAsia" w:eastAsiaTheme="minorEastAsia" w:cstheme="minorEastAsia"/>
          <w:sz w:val="24"/>
          <w:szCs w:val="24"/>
          <w:highlight w:val="none"/>
        </w:rPr>
        <w:t>采购人（甲方）：</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 xml:space="preserve">                         </w:t>
      </w:r>
    </w:p>
    <w:p w14:paraId="3FE0F290">
      <w:pPr>
        <w:snapToGrid w:val="0"/>
        <w:spacing w:line="360" w:lineRule="auto"/>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供应商（乙方）：</w:t>
      </w:r>
      <w:r>
        <w:rPr>
          <w:rFonts w:hint="eastAsia" w:asciiTheme="minorEastAsia" w:hAnsiTheme="minorEastAsia" w:eastAsiaTheme="minorEastAsia" w:cstheme="minorEastAsia"/>
          <w:sz w:val="24"/>
          <w:szCs w:val="24"/>
          <w:highlight w:val="none"/>
          <w:u w:val="single"/>
          <w:lang w:val="en-US" w:eastAsia="zh-CN"/>
        </w:rPr>
        <w:t xml:space="preserve">                           </w:t>
      </w:r>
    </w:p>
    <w:p w14:paraId="64ADB655">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依据《中华人民共和国民法典》、《中华人民共和国政府采购法》与项目行业有关的法律法规，以及西安市生态环境保护综合执法支队</w:t>
      </w:r>
      <w:r>
        <w:rPr>
          <w:rFonts w:hint="eastAsia" w:asciiTheme="minorEastAsia" w:hAnsiTheme="minorEastAsia" w:eastAsiaTheme="minorEastAsia" w:cstheme="minorEastAsia"/>
          <w:sz w:val="24"/>
          <w:szCs w:val="24"/>
          <w:highlight w:val="none"/>
          <w:lang w:eastAsia="zh-CN"/>
        </w:rPr>
        <w:t>西安市自动监控管理端系统软件平台运维</w:t>
      </w:r>
      <w:r>
        <w:rPr>
          <w:rFonts w:hint="eastAsia" w:asciiTheme="minorEastAsia" w:hAnsiTheme="minorEastAsia" w:eastAsiaTheme="minorEastAsia" w:cstheme="minorEastAsia"/>
          <w:sz w:val="24"/>
          <w:szCs w:val="24"/>
          <w:highlight w:val="none"/>
        </w:rPr>
        <w:t>项目，甲、乙双方同意签订本合同。</w:t>
      </w:r>
    </w:p>
    <w:p w14:paraId="7700525D">
      <w:pPr>
        <w:numPr>
          <w:ilvl w:val="0"/>
          <w:numId w:val="1"/>
        </w:numPr>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项目基本情况</w:t>
      </w:r>
    </w:p>
    <w:p w14:paraId="53D2080D">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本项目为西安市重点污染源自动监控平台运行维护，提供市级的重点污染源自动监控平台技术维护服务；为保证西安市重点污染源自动监控数据真实、有效上传，利用非现场方式进一步强化西安市重点污染源日常监督、数据监控管理，深化数据应用，采购污染源自动监控系统数据维护服务。</w:t>
      </w:r>
    </w:p>
    <w:p w14:paraId="29FAF0DA">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运维服务范围包括：配合市级重点污染源自动监控平台的补丁升级、平台优化、数据库维护、系统数据备份及恢复等工作，配合做好数据联网及传输、系统对接、技术支持、培训标记、电子督办、协助排查、报告编制、数据统计等技术工作。</w:t>
      </w:r>
    </w:p>
    <w:p w14:paraId="3FD910AB">
      <w:pPr>
        <w:numPr>
          <w:ilvl w:val="0"/>
          <w:numId w:val="1"/>
        </w:numPr>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服务期限 </w:t>
      </w:r>
    </w:p>
    <w:p w14:paraId="375CAC92">
      <w:pPr>
        <w:numPr>
          <w:ilvl w:val="0"/>
          <w:numId w:val="0"/>
        </w:numPr>
        <w:snapToGrid w:val="0"/>
        <w:spacing w:line="360" w:lineRule="auto"/>
        <w:ind w:leftChars="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lang w:eastAsia="zh-CN"/>
        </w:rPr>
        <w:t>自合同签订之日起至</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日止。</w:t>
      </w:r>
    </w:p>
    <w:p w14:paraId="06C41343">
      <w:pPr>
        <w:numPr>
          <w:ilvl w:val="0"/>
          <w:numId w:val="1"/>
        </w:numPr>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服务内容与质量标准</w:t>
      </w:r>
    </w:p>
    <w:p w14:paraId="5DA09684">
      <w:pPr>
        <w:tabs>
          <w:tab w:val="left" w:pos="851"/>
        </w:tabs>
        <w:spacing w:line="360" w:lineRule="auto"/>
        <w:ind w:firstLine="480" w:firstLineChars="200"/>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kern w:val="2"/>
          <w:sz w:val="24"/>
          <w:szCs w:val="24"/>
          <w:highlight w:val="none"/>
          <w:lang w:val="en-US" w:eastAsia="zh-CN" w:bidi="ar-SA"/>
        </w:rPr>
        <w:t>服务内容</w:t>
      </w:r>
    </w:p>
    <w:p w14:paraId="2A610EE9">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第三方运维负责对国发重点污染源自动监控系统软件平台的维护，并提供专人进行软件平台运维服务。运维服务主要内容如下：</w:t>
      </w:r>
    </w:p>
    <w:p w14:paraId="16EC1A78">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1.1</w:t>
      </w:r>
      <w:r>
        <w:rPr>
          <w:rFonts w:hint="eastAsia" w:asciiTheme="minorEastAsia" w:hAnsiTheme="minorEastAsia" w:eastAsiaTheme="minorEastAsia" w:cstheme="minorEastAsia"/>
          <w:sz w:val="24"/>
          <w:szCs w:val="24"/>
          <w:highlight w:val="none"/>
        </w:rPr>
        <w:t>提供针对西安市重点污染源自动监控系统技术支持及日常维护服务。</w:t>
      </w:r>
    </w:p>
    <w:p w14:paraId="7F82C416">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1.2</w:t>
      </w:r>
      <w:r>
        <w:rPr>
          <w:rFonts w:hint="eastAsia" w:asciiTheme="minorEastAsia" w:hAnsiTheme="minorEastAsia" w:eastAsiaTheme="minorEastAsia" w:cstheme="minorEastAsia"/>
          <w:sz w:val="24"/>
          <w:szCs w:val="24"/>
          <w:highlight w:val="none"/>
        </w:rPr>
        <w:t>协助西安市重点污染源自动监控系统数据传输完整性，全面提高数据质量，在网络传输正常的情况下，协助完成每季度及全年全市自动监控数据传输有效率达到95%以上的要求。</w:t>
      </w:r>
    </w:p>
    <w:p w14:paraId="50CF90B9">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1.3</w:t>
      </w:r>
      <w:r>
        <w:rPr>
          <w:rFonts w:hint="eastAsia" w:asciiTheme="minorEastAsia" w:hAnsiTheme="minorEastAsia" w:eastAsiaTheme="minorEastAsia" w:cstheme="minorEastAsia"/>
          <w:sz w:val="24"/>
          <w:szCs w:val="24"/>
          <w:highlight w:val="none"/>
        </w:rPr>
        <w:t>提供配合西安市重点污染源自动监控系统的部署与使用，对市辖区在国发平台上需要实施的日常工作进行指导。</w:t>
      </w:r>
    </w:p>
    <w:p w14:paraId="63BEAADF">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1.4</w:t>
      </w:r>
      <w:r>
        <w:rPr>
          <w:rFonts w:hint="eastAsia" w:asciiTheme="minorEastAsia" w:hAnsiTheme="minorEastAsia" w:eastAsiaTheme="minorEastAsia" w:cstheme="minorEastAsia"/>
          <w:sz w:val="24"/>
          <w:szCs w:val="24"/>
          <w:highlight w:val="none"/>
        </w:rPr>
        <w:t>配合升级、部署联调，与国家同步升级平台软件，根据用户单位的需要，配合实施平台有关的调整、维护等。</w:t>
      </w:r>
    </w:p>
    <w:p w14:paraId="5A160430">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1.5</w:t>
      </w:r>
      <w:r>
        <w:rPr>
          <w:rFonts w:hint="eastAsia" w:asciiTheme="minorEastAsia" w:hAnsiTheme="minorEastAsia" w:eastAsiaTheme="minorEastAsia" w:cstheme="minorEastAsia"/>
          <w:sz w:val="24"/>
          <w:szCs w:val="24"/>
          <w:highlight w:val="none"/>
        </w:rPr>
        <w:t>协助保障西安市重点污染源自动监控平台在线监控数据同步上传交换数据至环保部。</w:t>
      </w:r>
    </w:p>
    <w:p w14:paraId="71556D48">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1.6</w:t>
      </w:r>
      <w:r>
        <w:rPr>
          <w:rFonts w:hint="eastAsia" w:asciiTheme="minorEastAsia" w:hAnsiTheme="minorEastAsia" w:eastAsiaTheme="minorEastAsia" w:cstheme="minorEastAsia"/>
          <w:sz w:val="24"/>
          <w:szCs w:val="24"/>
          <w:highlight w:val="none"/>
        </w:rPr>
        <w:t>协助提高重点污染源自动监控系统在线监测数据的联网率和数据质量。</w:t>
      </w:r>
    </w:p>
    <w:p w14:paraId="4E9F2BDA">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1.7</w:t>
      </w:r>
      <w:r>
        <w:rPr>
          <w:rFonts w:hint="eastAsia" w:asciiTheme="minorEastAsia" w:hAnsiTheme="minorEastAsia" w:eastAsiaTheme="minorEastAsia" w:cstheme="minorEastAsia"/>
          <w:sz w:val="24"/>
          <w:szCs w:val="24"/>
          <w:highlight w:val="none"/>
        </w:rPr>
        <w:t>配合业务人员导出各种数据报表，包含月度、季度、年度报表等。</w:t>
      </w:r>
    </w:p>
    <w:p w14:paraId="4096B8A1">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1.8</w:t>
      </w:r>
      <w:r>
        <w:rPr>
          <w:rFonts w:hint="eastAsia" w:asciiTheme="minorEastAsia" w:hAnsiTheme="minorEastAsia" w:eastAsiaTheme="minorEastAsia" w:cstheme="minorEastAsia"/>
          <w:sz w:val="24"/>
          <w:szCs w:val="24"/>
          <w:highlight w:val="none"/>
        </w:rPr>
        <w:t>配合西安市运维人员、仪器厂商等解决数据接入软件平台的过程中碰到的各种问题。</w:t>
      </w:r>
    </w:p>
    <w:p w14:paraId="50582CA1">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1.9</w:t>
      </w:r>
      <w:r>
        <w:rPr>
          <w:rFonts w:hint="eastAsia" w:asciiTheme="minorEastAsia" w:hAnsiTheme="minorEastAsia" w:eastAsiaTheme="minorEastAsia" w:cstheme="minorEastAsia"/>
          <w:sz w:val="24"/>
          <w:szCs w:val="24"/>
          <w:highlight w:val="none"/>
        </w:rPr>
        <w:t>配合完成国发平台自动监测数据超标情况汇总。</w:t>
      </w:r>
    </w:p>
    <w:p w14:paraId="31742CF3">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1.10</w:t>
      </w:r>
      <w:r>
        <w:rPr>
          <w:rFonts w:hint="eastAsia" w:asciiTheme="minorEastAsia" w:hAnsiTheme="minorEastAsia" w:eastAsiaTheme="minorEastAsia" w:cstheme="minorEastAsia"/>
          <w:sz w:val="24"/>
          <w:szCs w:val="24"/>
          <w:highlight w:val="none"/>
        </w:rPr>
        <w:t>每月10日前提供月度运行管理工作简报，进行相关数据分析</w:t>
      </w:r>
    </w:p>
    <w:p w14:paraId="4110A7A3">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1.11</w:t>
      </w:r>
      <w:r>
        <w:rPr>
          <w:rFonts w:hint="eastAsia" w:asciiTheme="minorEastAsia" w:hAnsiTheme="minorEastAsia" w:eastAsiaTheme="minorEastAsia" w:cstheme="minorEastAsia"/>
          <w:sz w:val="24"/>
          <w:szCs w:val="24"/>
          <w:highlight w:val="none"/>
        </w:rPr>
        <w:t>提供软件运行管理集中培训或1对1 技术培训。</w:t>
      </w:r>
    </w:p>
    <w:p w14:paraId="52D860C3">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1.12</w:t>
      </w:r>
      <w:r>
        <w:rPr>
          <w:rFonts w:hint="eastAsia" w:asciiTheme="minorEastAsia" w:hAnsiTheme="minorEastAsia" w:eastAsiaTheme="minorEastAsia" w:cstheme="minorEastAsia"/>
          <w:sz w:val="24"/>
          <w:szCs w:val="24"/>
          <w:highlight w:val="none"/>
        </w:rPr>
        <w:t>其他重点污染源自动监控平台维护升级等其他相关事宜。</w:t>
      </w:r>
    </w:p>
    <w:p w14:paraId="6BB6BBD5">
      <w:pPr>
        <w:snapToGrid w:val="0"/>
        <w:spacing w:line="360" w:lineRule="auto"/>
        <w:ind w:firstLine="420" w:firstLineChars="175"/>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、服务</w:t>
      </w:r>
      <w:r>
        <w:rPr>
          <w:rFonts w:hint="eastAsia" w:asciiTheme="minorEastAsia" w:hAnsiTheme="minorEastAsia" w:eastAsiaTheme="minorEastAsia" w:cstheme="minorEastAsia"/>
          <w:sz w:val="24"/>
          <w:szCs w:val="24"/>
          <w:highlight w:val="none"/>
          <w:lang w:val="en-US" w:eastAsia="zh-CN"/>
        </w:rPr>
        <w:t>要求</w:t>
      </w:r>
    </w:p>
    <w:p w14:paraId="1AC47537">
      <w:pPr>
        <w:spacing w:line="360" w:lineRule="auto"/>
        <w:ind w:left="0" w:leftChars="0" w:firstLine="360" w:firstLineChars="15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2.1工作时间内的远程服务和现场服务请求，1个工作日内解决，其他时间须提供7×24小时电话支持服务，如有需要，现场解决。</w:t>
      </w:r>
    </w:p>
    <w:p w14:paraId="2F92DA10">
      <w:pPr>
        <w:spacing w:line="360" w:lineRule="auto"/>
        <w:ind w:left="0" w:leftChars="0" w:firstLine="360" w:firstLineChars="15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2.2每月向西安市生态环境保护综合执法支队汇报上月在线监控运营情况，对常见问题提供技术支持服务。</w:t>
      </w:r>
    </w:p>
    <w:p w14:paraId="7B066F83">
      <w:pPr>
        <w:spacing w:line="360" w:lineRule="auto"/>
        <w:ind w:left="0" w:leftChars="0" w:firstLine="360" w:firstLineChars="15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2.3配合解决数据接入软件平台的过程中碰到的各种技术问题。</w:t>
      </w:r>
    </w:p>
    <w:p w14:paraId="79773A60">
      <w:pPr>
        <w:numPr>
          <w:ilvl w:val="0"/>
          <w:numId w:val="0"/>
        </w:numPr>
        <w:spacing w:line="520" w:lineRule="exact"/>
        <w:ind w:firstLine="480" w:firstLineChars="200"/>
        <w:rPr>
          <w:rFonts w:hint="eastAsia" w:ascii="宋体" w:hAnsi="宋体" w:cs="宋体"/>
          <w:sz w:val="24"/>
          <w:szCs w:val="24"/>
          <w:highlight w:val="none"/>
        </w:rPr>
      </w:pPr>
      <w:r>
        <w:rPr>
          <w:rFonts w:hint="eastAsia" w:ascii="宋体" w:hAnsi="宋体" w:cs="宋体"/>
          <w:kern w:val="2"/>
          <w:sz w:val="24"/>
          <w:szCs w:val="24"/>
          <w:highlight w:val="none"/>
          <w:lang w:val="en-US" w:eastAsia="zh-CN" w:bidi="ar-SA"/>
        </w:rPr>
        <w:t>3</w:t>
      </w:r>
      <w:r>
        <w:rPr>
          <w:rFonts w:hint="eastAsia" w:ascii="宋体" w:hAnsi="宋体" w:eastAsia="宋体" w:cs="宋体"/>
          <w:kern w:val="2"/>
          <w:sz w:val="24"/>
          <w:szCs w:val="24"/>
          <w:highlight w:val="none"/>
          <w:lang w:val="en-US" w:eastAsia="zh-CN" w:bidi="ar-SA"/>
        </w:rPr>
        <w:t>、</w:t>
      </w:r>
      <w:r>
        <w:rPr>
          <w:rFonts w:hint="eastAsia" w:ascii="宋体" w:hAnsi="宋体" w:cs="宋体"/>
          <w:sz w:val="24"/>
          <w:szCs w:val="24"/>
          <w:highlight w:val="none"/>
        </w:rPr>
        <w:t>进度要求</w:t>
      </w:r>
    </w:p>
    <w:p w14:paraId="3BB0C5CC">
      <w:pPr>
        <w:snapToGrid w:val="0"/>
        <w:spacing w:line="360" w:lineRule="auto"/>
        <w:ind w:firstLine="420" w:firstLineChars="175"/>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highlight w:val="none"/>
          <w:u w:val="single"/>
          <w:lang w:val="en-US" w:eastAsia="zh-CN"/>
        </w:rPr>
        <w:t xml:space="preserve">                                                               </w:t>
      </w:r>
    </w:p>
    <w:p w14:paraId="5EB1E419">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、成果交付内容</w:t>
      </w:r>
    </w:p>
    <w:p w14:paraId="77A0C57B">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1、协助每月汇总西安市重点污染源自动监控设施现场监督检查情况；</w:t>
      </w:r>
    </w:p>
    <w:p w14:paraId="27870EF5">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2、指导各生态环境分县局及时在24小时内完成电子督办回复；</w:t>
      </w:r>
    </w:p>
    <w:p w14:paraId="17E6CF8E">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3、基于重点污染源自动监控与数据库系统软件平台，每月提交一份关于全市重点污染源数据相关工作的情况总结；</w:t>
      </w:r>
    </w:p>
    <w:p w14:paraId="54EFE213">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4、每月对全市重点污染源企业传输有效率进行汇总，并形成月报；</w:t>
      </w:r>
    </w:p>
    <w:p w14:paraId="6B63D183">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5、协助汇总西安市污染源自动监控企业超标核实数据整理工作；</w:t>
      </w:r>
    </w:p>
    <w:p w14:paraId="2A9AB664">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6、每月对电子督办单进行汇总，并形成报告；</w:t>
      </w:r>
    </w:p>
    <w:p w14:paraId="54D10F1C">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7、基于重点污染源自动监控与数据库系统软件平台，现场或者远程对平台工作人员进行培训指导；</w:t>
      </w:r>
    </w:p>
    <w:p w14:paraId="2BA4A462">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8、根据平台调度协助标记，协助进行重点排污单位排查工作。</w:t>
      </w:r>
    </w:p>
    <w:p w14:paraId="31450CAA">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质量验收标准或规范</w:t>
      </w:r>
    </w:p>
    <w:p w14:paraId="1086E093">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验收依据：（1）合同文本；（2）国内相应的标准、规范；（3）招标文件、投标文件、承诺等。</w:t>
      </w:r>
    </w:p>
    <w:p w14:paraId="5EC37B8F">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第四条</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服务费用及支付方式</w:t>
      </w:r>
    </w:p>
    <w:p w14:paraId="532DAD23">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本项目合同价格</w:t>
      </w:r>
    </w:p>
    <w:p w14:paraId="11993F58">
      <w:pPr>
        <w:snapToGrid w:val="0"/>
        <w:spacing w:line="360" w:lineRule="auto"/>
        <w:ind w:firstLine="420" w:firstLineChars="175"/>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sz w:val="24"/>
          <w:szCs w:val="24"/>
          <w:highlight w:val="none"/>
        </w:rPr>
        <w:t xml:space="preserve">  人</w:t>
      </w:r>
      <w:r>
        <w:rPr>
          <w:rFonts w:hint="eastAsia" w:asciiTheme="minorEastAsia" w:hAnsiTheme="minorEastAsia" w:eastAsiaTheme="minorEastAsia" w:cstheme="minorEastAsia"/>
          <w:color w:val="000000"/>
          <w:sz w:val="24"/>
          <w:szCs w:val="24"/>
          <w:highlight w:val="none"/>
        </w:rPr>
        <w:t>民币</w:t>
      </w:r>
      <w:r>
        <w:rPr>
          <w:rFonts w:hint="eastAsia" w:asciiTheme="minorEastAsia" w:hAnsiTheme="minorEastAsia" w:eastAsiaTheme="minorEastAsia" w:cstheme="minorEastAsia"/>
          <w:color w:val="000000"/>
          <w:sz w:val="24"/>
          <w:szCs w:val="24"/>
          <w:highlight w:val="none"/>
          <w:lang w:eastAsia="zh-CN"/>
        </w:rPr>
        <w:t>（大写）</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w:t>
      </w:r>
    </w:p>
    <w:p w14:paraId="68F3274C">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服务费支付方式</w:t>
      </w:r>
    </w:p>
    <w:p w14:paraId="4BF0E721">
      <w:pPr>
        <w:snapToGrid w:val="0"/>
        <w:spacing w:line="360" w:lineRule="auto"/>
        <w:ind w:firstLine="420" w:firstLineChars="17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本合同签订生效后，分两次支付，202</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年12月31日前达到付款条件起 15 日内，支付合同总金额的</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运维服务期结束，服务资料验收合格后，乙方向甲方提供服务发票，达到付款条件起 15 日内，支付合同总金额的</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auto"/>
          <w:sz w:val="24"/>
          <w:szCs w:val="24"/>
          <w:highlight w:val="none"/>
        </w:rPr>
        <w:t>即￥：</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元；人民币大写：</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p>
    <w:p w14:paraId="788C9C47">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w:t>
      </w:r>
      <w:r>
        <w:rPr>
          <w:rFonts w:hint="eastAsia" w:asciiTheme="minorEastAsia" w:hAnsiTheme="minorEastAsia" w:eastAsiaTheme="minorEastAsia" w:cstheme="minorEastAsia"/>
          <w:sz w:val="24"/>
          <w:szCs w:val="24"/>
          <w:highlight w:val="none"/>
          <w:lang w:eastAsia="zh-CN"/>
        </w:rPr>
        <w:t>五</w:t>
      </w:r>
      <w:r>
        <w:rPr>
          <w:rFonts w:hint="eastAsia" w:asciiTheme="minorEastAsia" w:hAnsiTheme="minorEastAsia" w:eastAsiaTheme="minorEastAsia" w:cstheme="minorEastAsia"/>
          <w:sz w:val="24"/>
          <w:szCs w:val="24"/>
          <w:highlight w:val="none"/>
        </w:rPr>
        <w:t>条  甲方的权利和义务</w:t>
      </w:r>
    </w:p>
    <w:p w14:paraId="2A440CFF">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FD779D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2、甲方有权依据双方签订的考评办法对乙方提供的服务进行定期考评。</w:t>
      </w:r>
    </w:p>
    <w:p w14:paraId="1465E02E">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3、负责检查监督乙方管理工作的实施及制度的执行情况。</w:t>
      </w:r>
    </w:p>
    <w:p w14:paraId="0C4D6749">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4、根据本合同规定，按时向乙方支付应付服务费用。</w:t>
      </w:r>
    </w:p>
    <w:p w14:paraId="090790D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5、国家法律、法规所规定由甲方承担的其它责任。</w:t>
      </w:r>
    </w:p>
    <w:p w14:paraId="5CB82AE0">
      <w:pPr>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第七条</w:t>
      </w:r>
      <w:r>
        <w:rPr>
          <w:rFonts w:hint="eastAsia" w:asciiTheme="minorEastAsia" w:hAnsiTheme="minorEastAsia" w:eastAsiaTheme="minorEastAsia" w:cstheme="minorEastAsia"/>
          <w:color w:val="000000"/>
          <w:sz w:val="24"/>
          <w:szCs w:val="24"/>
          <w:highlight w:val="none"/>
        </w:rPr>
        <w:tab/>
      </w:r>
      <w:r>
        <w:rPr>
          <w:rFonts w:hint="eastAsia" w:asciiTheme="minorEastAsia" w:hAnsiTheme="minorEastAsia" w:eastAsiaTheme="minorEastAsia" w:cstheme="minorEastAsia"/>
          <w:color w:val="000000"/>
          <w:sz w:val="24"/>
          <w:szCs w:val="24"/>
          <w:highlight w:val="none"/>
        </w:rPr>
        <w:t>乙方的权利和义务</w:t>
      </w:r>
    </w:p>
    <w:p w14:paraId="0D2FF679">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1、对本合同规定的委托服务范围内的项目享有管理权及服务义务。</w:t>
      </w:r>
    </w:p>
    <w:p w14:paraId="6C6F4E4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2、根据本合同的规定向甲方收取相关服务费用，并有权在本项目管理范围内管理及合理使用。</w:t>
      </w:r>
    </w:p>
    <w:p w14:paraId="4AA566E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3、及时向甲方通告本项目服务范围内有关服务的重大事项，及时配合处理投诉。</w:t>
      </w:r>
    </w:p>
    <w:p w14:paraId="20FCB7FC">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4、接受项目行业管理部门及政府有关部门的指导，接受甲方的监督。</w:t>
      </w:r>
    </w:p>
    <w:p w14:paraId="05685EEA">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5、国家法律、法规所规定由乙方承担的其它责任。</w:t>
      </w:r>
    </w:p>
    <w:p w14:paraId="11DC13CC">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第九条</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违约责任 </w:t>
      </w:r>
    </w:p>
    <w:p w14:paraId="11E712A0">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1、甲乙双方必须遵守本合同并执行合同中的各项规定，保证本合同的正常履行。</w:t>
      </w:r>
    </w:p>
    <w:p w14:paraId="3D1FC76B">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E4F56DF">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3、如因乙方不能按照第三条第2项约定的1</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种服务提供服务或者提供的服务达不到合同约定的服务标准和要求的，出现任一情形的，乙方应向甲方支付违约金合同总额的5％。</w:t>
      </w:r>
    </w:p>
    <w:p w14:paraId="4124F876">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4、如因乙方不能按照第三条第3项约定的服务质量标准提供服务的，每违约一次应向甲方支付违约金1000元。</w:t>
      </w:r>
    </w:p>
    <w:p w14:paraId="732537F7">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5、任务考核的扣款不影响违约金的支付。</w:t>
      </w:r>
    </w:p>
    <w:p w14:paraId="5D5A69B7">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第十条</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不可抗力事件处理</w:t>
      </w:r>
    </w:p>
    <w:p w14:paraId="5A9B7D4E">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1、在合同有效期内，任何一方因不可抗力事件导致不能履行合同，则合同履行期可延长，其延长期与不可抗力影响期相同。</w:t>
      </w:r>
    </w:p>
    <w:p w14:paraId="6E0B1080">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2、不可抗力事件发生后，应立即通知对方，并寄送有关权威机构出具的证明。</w:t>
      </w:r>
    </w:p>
    <w:p w14:paraId="36D58D1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3、不可抗力事件延续10天以上，双方应通过友好协商，确定是否继续履行合同。</w:t>
      </w:r>
    </w:p>
    <w:p w14:paraId="4FFAFF44">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第十一条  解决合同纠纷的方式</w:t>
      </w:r>
    </w:p>
    <w:p w14:paraId="7968641D">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1、在执行本合同中发生的或与本合同有关的争端，双方应通过友好协商解决，经协商在10天内不能达成协议时，应提交西安仲裁委员会仲裁。</w:t>
      </w:r>
    </w:p>
    <w:p w14:paraId="53AE4E44">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2、仲裁裁决应为最终决定，并对双方具有约束力。</w:t>
      </w:r>
    </w:p>
    <w:p w14:paraId="0BE04F0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3、除另有裁决外，仲裁费应由败诉方负担。</w:t>
      </w:r>
    </w:p>
    <w:p w14:paraId="2D173A4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4、在仲裁期间，除正在进行仲裁部分外，合同其他部分继续执行。 </w:t>
      </w:r>
    </w:p>
    <w:p w14:paraId="323A66A1">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第十二条  合同生效及其他</w:t>
      </w:r>
    </w:p>
    <w:p w14:paraId="27216DFC">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1、合同经双方法定代表人或授权委托代理人签字并加盖单位公章后生效。</w:t>
      </w:r>
    </w:p>
    <w:p w14:paraId="39132557">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4647E70D">
      <w:pPr>
        <w:adjustRightInd w:val="0"/>
        <w:snapToGrid w:val="0"/>
        <w:spacing w:line="360" w:lineRule="auto"/>
        <w:ind w:firstLine="210"/>
        <w:textAlignment w:val="baseline"/>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（以下无正文）</w:t>
      </w:r>
    </w:p>
    <w:p w14:paraId="7CBD9508">
      <w:pPr>
        <w:pStyle w:val="4"/>
        <w:rPr>
          <w:rFonts w:hint="eastAsia"/>
          <w:highlight w:val="none"/>
        </w:rPr>
      </w:pPr>
    </w:p>
    <w:p w14:paraId="79CC5B0D">
      <w:pP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br w:type="page"/>
      </w:r>
    </w:p>
    <w:p w14:paraId="4DBB9176">
      <w:pPr>
        <w:rPr>
          <w:rFonts w:hint="eastAsia"/>
          <w:highlight w:val="none"/>
        </w:rPr>
      </w:pPr>
      <w:r>
        <w:rPr>
          <w:rFonts w:hint="eastAsia" w:asciiTheme="minorEastAsia" w:hAnsiTheme="minorEastAsia" w:eastAsiaTheme="minorEastAsia" w:cstheme="minorEastAsia"/>
          <w:sz w:val="24"/>
          <w:szCs w:val="24"/>
          <w:highlight w:val="none"/>
        </w:rPr>
        <w:t>（本页无正文，为合同签署页）</w:t>
      </w:r>
    </w:p>
    <w:tbl>
      <w:tblPr>
        <w:tblStyle w:val="7"/>
        <w:tblpPr w:leftFromText="180" w:rightFromText="180" w:vertAnchor="text" w:horzAnchor="page" w:tblpX="1679" w:tblpY="426"/>
        <w:tblOverlap w:val="never"/>
        <w:tblW w:w="4997" w:type="pct"/>
        <w:tblInd w:w="0" w:type="dxa"/>
        <w:tblLayout w:type="autofit"/>
        <w:tblCellMar>
          <w:top w:w="0" w:type="dxa"/>
          <w:left w:w="108" w:type="dxa"/>
          <w:bottom w:w="0" w:type="dxa"/>
          <w:right w:w="108" w:type="dxa"/>
        </w:tblCellMar>
      </w:tblPr>
      <w:tblGrid>
        <w:gridCol w:w="3988"/>
        <w:gridCol w:w="4529"/>
      </w:tblGrid>
      <w:tr w14:paraId="1416282E">
        <w:tblPrEx>
          <w:tblCellMar>
            <w:top w:w="0" w:type="dxa"/>
            <w:left w:w="108" w:type="dxa"/>
            <w:bottom w:w="0" w:type="dxa"/>
            <w:right w:w="108" w:type="dxa"/>
          </w:tblCellMar>
        </w:tblPrEx>
        <w:tc>
          <w:tcPr>
            <w:tcW w:w="2341" w:type="pct"/>
            <w:shd w:val="clear" w:color="auto" w:fill="auto"/>
          </w:tcPr>
          <w:p w14:paraId="53773F85">
            <w:pPr>
              <w:keepNext w:val="0"/>
              <w:keepLines w:val="0"/>
              <w:suppressLineNumbers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w:t>
            </w:r>
          </w:p>
          <w:p w14:paraId="2B0434C6">
            <w:pPr>
              <w:keepNext w:val="0"/>
              <w:keepLines w:val="0"/>
              <w:suppressLineNumbers w:val="0"/>
              <w:spacing w:beforeAutospacing="0" w:afterAutospacing="0" w:line="480" w:lineRule="auto"/>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（公章或合同专用章）</w:t>
            </w:r>
          </w:p>
        </w:tc>
        <w:tc>
          <w:tcPr>
            <w:tcW w:w="2658" w:type="pct"/>
            <w:shd w:val="clear" w:color="auto" w:fill="auto"/>
          </w:tcPr>
          <w:p w14:paraId="4C2DE09A">
            <w:pPr>
              <w:keepNext w:val="0"/>
              <w:keepLines w:val="0"/>
              <w:suppressLineNumbers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w:t>
            </w:r>
          </w:p>
          <w:p w14:paraId="79E67218">
            <w:pPr>
              <w:keepNext w:val="0"/>
              <w:keepLines w:val="0"/>
              <w:suppressLineNumbers w:val="0"/>
              <w:spacing w:beforeAutospacing="0" w:afterAutospacing="0" w:line="480" w:lineRule="auto"/>
              <w:ind w:left="0" w:right="0"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（公章或合同专用章）</w:t>
            </w:r>
          </w:p>
        </w:tc>
      </w:tr>
      <w:tr w14:paraId="1FDD2233">
        <w:tblPrEx>
          <w:tblCellMar>
            <w:top w:w="0" w:type="dxa"/>
            <w:left w:w="108" w:type="dxa"/>
            <w:bottom w:w="0" w:type="dxa"/>
            <w:right w:w="108" w:type="dxa"/>
          </w:tblCellMar>
        </w:tblPrEx>
        <w:tc>
          <w:tcPr>
            <w:tcW w:w="2341" w:type="pct"/>
            <w:shd w:val="clear" w:color="auto" w:fill="auto"/>
          </w:tcPr>
          <w:p w14:paraId="651ED24C">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法定代表人（授权代表）：</w:t>
            </w:r>
          </w:p>
        </w:tc>
        <w:tc>
          <w:tcPr>
            <w:tcW w:w="2658" w:type="pct"/>
            <w:shd w:val="clear" w:color="auto" w:fill="auto"/>
          </w:tcPr>
          <w:p w14:paraId="3C217B38">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法定代表人（授权代表）：</w:t>
            </w:r>
          </w:p>
        </w:tc>
      </w:tr>
      <w:tr w14:paraId="0AE9BED3">
        <w:tblPrEx>
          <w:tblCellMar>
            <w:top w:w="0" w:type="dxa"/>
            <w:left w:w="108" w:type="dxa"/>
            <w:bottom w:w="0" w:type="dxa"/>
            <w:right w:w="108" w:type="dxa"/>
          </w:tblCellMar>
        </w:tblPrEx>
        <w:trPr>
          <w:trHeight w:val="880" w:hRule="atLeast"/>
        </w:trPr>
        <w:tc>
          <w:tcPr>
            <w:tcW w:w="2341" w:type="pct"/>
            <w:shd w:val="clear" w:color="auto" w:fill="auto"/>
          </w:tcPr>
          <w:p w14:paraId="18A24F46">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tc>
        <w:tc>
          <w:tcPr>
            <w:tcW w:w="2658" w:type="pct"/>
            <w:shd w:val="clear" w:color="auto" w:fill="auto"/>
          </w:tcPr>
          <w:p w14:paraId="419F89FC">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tc>
      </w:tr>
      <w:tr w14:paraId="45152401">
        <w:tblPrEx>
          <w:tblCellMar>
            <w:top w:w="0" w:type="dxa"/>
            <w:left w:w="108" w:type="dxa"/>
            <w:bottom w:w="0" w:type="dxa"/>
            <w:right w:w="108" w:type="dxa"/>
          </w:tblCellMar>
        </w:tblPrEx>
        <w:tc>
          <w:tcPr>
            <w:tcW w:w="2341" w:type="pct"/>
            <w:shd w:val="clear" w:color="auto" w:fill="auto"/>
          </w:tcPr>
          <w:p w14:paraId="158737E9">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c>
          <w:tcPr>
            <w:tcW w:w="2658" w:type="pct"/>
            <w:shd w:val="clear" w:color="auto" w:fill="auto"/>
          </w:tcPr>
          <w:p w14:paraId="5B8D6555">
            <w:pPr>
              <w:keepNext w:val="0"/>
              <w:keepLines w:val="0"/>
              <w:suppressLineNumbers w:val="0"/>
              <w:snapToGrid w:val="0"/>
              <w:spacing w:beforeAutospacing="0" w:afterAutospacing="0" w:line="480" w:lineRule="auto"/>
              <w:ind w:left="0" w:right="11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r>
      <w:tr w14:paraId="0786627D">
        <w:tblPrEx>
          <w:tblCellMar>
            <w:top w:w="0" w:type="dxa"/>
            <w:left w:w="108" w:type="dxa"/>
            <w:bottom w:w="0" w:type="dxa"/>
            <w:right w:w="108" w:type="dxa"/>
          </w:tblCellMar>
        </w:tblPrEx>
        <w:tc>
          <w:tcPr>
            <w:tcW w:w="2341" w:type="pct"/>
            <w:shd w:val="clear" w:color="auto" w:fill="auto"/>
          </w:tcPr>
          <w:p w14:paraId="2E3F63BD">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p>
        </w:tc>
        <w:tc>
          <w:tcPr>
            <w:tcW w:w="2658" w:type="pct"/>
            <w:shd w:val="clear" w:color="auto" w:fill="auto"/>
          </w:tcPr>
          <w:p w14:paraId="76E07890">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p>
        </w:tc>
      </w:tr>
      <w:tr w14:paraId="6BC25082">
        <w:tblPrEx>
          <w:tblCellMar>
            <w:top w:w="0" w:type="dxa"/>
            <w:left w:w="108" w:type="dxa"/>
            <w:bottom w:w="0" w:type="dxa"/>
            <w:right w:w="108" w:type="dxa"/>
          </w:tblCellMar>
        </w:tblPrEx>
        <w:tc>
          <w:tcPr>
            <w:tcW w:w="2341" w:type="pct"/>
            <w:shd w:val="clear" w:color="auto" w:fill="auto"/>
          </w:tcPr>
          <w:p w14:paraId="40A6C293">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电话：</w:t>
            </w:r>
          </w:p>
        </w:tc>
        <w:tc>
          <w:tcPr>
            <w:tcW w:w="2658" w:type="pct"/>
            <w:shd w:val="clear" w:color="auto" w:fill="auto"/>
          </w:tcPr>
          <w:p w14:paraId="74AD72CE">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r>
      <w:tr w14:paraId="3ACCEAB1">
        <w:tblPrEx>
          <w:tblCellMar>
            <w:top w:w="0" w:type="dxa"/>
            <w:left w:w="108" w:type="dxa"/>
            <w:bottom w:w="0" w:type="dxa"/>
            <w:right w:w="108" w:type="dxa"/>
          </w:tblCellMar>
        </w:tblPrEx>
        <w:tc>
          <w:tcPr>
            <w:tcW w:w="2341" w:type="pct"/>
            <w:shd w:val="clear" w:color="auto" w:fill="auto"/>
          </w:tcPr>
          <w:p w14:paraId="58AB198D">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c>
          <w:tcPr>
            <w:tcW w:w="2658" w:type="pct"/>
            <w:shd w:val="clear" w:color="auto" w:fill="auto"/>
          </w:tcPr>
          <w:p w14:paraId="62D11AF0">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r>
      <w:tr w14:paraId="68DAFB61">
        <w:tblPrEx>
          <w:tblCellMar>
            <w:top w:w="0" w:type="dxa"/>
            <w:left w:w="108" w:type="dxa"/>
            <w:bottom w:w="0" w:type="dxa"/>
            <w:right w:w="108" w:type="dxa"/>
          </w:tblCellMar>
        </w:tblPrEx>
        <w:tc>
          <w:tcPr>
            <w:tcW w:w="2341" w:type="pct"/>
            <w:shd w:val="clear" w:color="auto" w:fill="auto"/>
          </w:tcPr>
          <w:p w14:paraId="274BB772">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w:t>
            </w:r>
          </w:p>
        </w:tc>
        <w:tc>
          <w:tcPr>
            <w:tcW w:w="2658" w:type="pct"/>
            <w:shd w:val="clear" w:color="auto" w:fill="auto"/>
          </w:tcPr>
          <w:p w14:paraId="34B75156">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w:t>
            </w:r>
          </w:p>
        </w:tc>
      </w:tr>
    </w:tbl>
    <w:p w14:paraId="3E177A2A">
      <w:pPr>
        <w:pStyle w:val="5"/>
        <w:jc w:val="left"/>
        <w:rPr>
          <w:rFonts w:hint="eastAsia" w:ascii="宋体" w:hAnsi="宋体" w:eastAsia="宋体" w:cs="宋体"/>
          <w:sz w:val="28"/>
          <w:szCs w:val="28"/>
        </w:rPr>
        <w:sectPr>
          <w:pgSz w:w="11906" w:h="16838"/>
          <w:pgMar w:top="1157" w:right="1800" w:bottom="1157" w:left="1800" w:header="851" w:footer="510" w:gutter="0"/>
          <w:pgNumType w:fmt="decimal"/>
          <w:cols w:space="425" w:num="1"/>
          <w:docGrid w:type="lines" w:linePitch="312" w:charSpace="0"/>
        </w:sectPr>
      </w:pPr>
    </w:p>
    <w:p w14:paraId="7597341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00"/>
    <w:family w:val="auto"/>
    <w:pitch w:val="default"/>
    <w:sig w:usb0="00000000" w:usb1="00000000" w:usb2="0000001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9A6E56"/>
    <w:multiLevelType w:val="multilevel"/>
    <w:tmpl w:val="6A9A6E56"/>
    <w:lvl w:ilvl="0" w:tentative="0">
      <w:start w:val="1"/>
      <w:numFmt w:val="japaneseCounting"/>
      <w:lvlText w:val="第%1条、"/>
      <w:lvlJc w:val="left"/>
      <w:pPr>
        <w:tabs>
          <w:tab w:val="left" w:pos="1125"/>
        </w:tabs>
        <w:ind w:left="1125" w:hanging="1125"/>
      </w:pPr>
      <w:rPr>
        <w:rFonts w:hint="default" w:hAnsi="宋体"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s>
  <w:rsids>
    <w:rsidRoot w:val="00000000"/>
    <w:rsid w:val="06E04573"/>
    <w:rsid w:val="1020681B"/>
    <w:rsid w:val="1AAE6A34"/>
    <w:rsid w:val="20B22830"/>
    <w:rsid w:val="22DC4AB5"/>
    <w:rsid w:val="2CE509E5"/>
    <w:rsid w:val="2EE93605"/>
    <w:rsid w:val="43BD6E5F"/>
    <w:rsid w:val="4BBC79FC"/>
    <w:rsid w:val="4BE807F1"/>
    <w:rsid w:val="57325AD0"/>
    <w:rsid w:val="60C74A21"/>
    <w:rsid w:val="65660CAD"/>
    <w:rsid w:val="7E116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360" w:lineRule="auto"/>
      <w:ind w:firstLine="0" w:firstLineChars="0"/>
      <w:jc w:val="left"/>
    </w:pPr>
    <w:rPr>
      <w:rFonts w:ascii="Calibri" w:hAnsi="Calibri" w:eastAsia="宋体" w:cs="Times New Roman"/>
      <w:kern w:val="2"/>
      <w:sz w:val="28"/>
      <w:szCs w:val="24"/>
      <w:lang w:val="en-US" w:eastAsia="zh-CN" w:bidi="ar-SA"/>
    </w:rPr>
  </w:style>
  <w:style w:type="paragraph" w:styleId="2">
    <w:name w:val="heading 4"/>
    <w:basedOn w:val="1"/>
    <w:next w:val="1"/>
    <w:link w:val="12"/>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3">
    <w:name w:val="Body Text"/>
    <w:basedOn w:val="1"/>
    <w:next w:val="1"/>
    <w:link w:val="11"/>
    <w:qFormat/>
    <w:uiPriority w:val="0"/>
    <w:pPr>
      <w:keepNext w:val="0"/>
      <w:keepLines w:val="0"/>
      <w:widowControl w:val="0"/>
      <w:suppressLineNumbers w:val="0"/>
      <w:spacing w:before="0" w:beforeAutospacing="0" w:after="0" w:afterAutospacing="0" w:line="360" w:lineRule="auto"/>
      <w:ind w:left="0" w:right="0"/>
      <w:jc w:val="both"/>
    </w:pPr>
    <w:rPr>
      <w:rFonts w:hint="default" w:ascii="Tahoma" w:hAnsi="Tahoma" w:eastAsia="Arial Unicode MS" w:cs="Times New Roman"/>
      <w:kern w:val="2"/>
      <w:sz w:val="21"/>
      <w:szCs w:val="24"/>
      <w:lang w:val="en-US" w:eastAsia="zh-CN" w:bidi="ar"/>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2"/>
    <w:basedOn w:val="1"/>
    <w:qFormat/>
    <w:uiPriority w:val="0"/>
    <w:pPr>
      <w:jc w:val="center"/>
    </w:pPr>
    <w:rPr>
      <w:rFonts w:eastAsia="仿宋_GB2312"/>
      <w:b/>
      <w:bCs/>
      <w:sz w:val="72"/>
    </w:rPr>
  </w:style>
  <w:style w:type="paragraph" w:styleId="6">
    <w:name w:val="Title"/>
    <w:basedOn w:val="1"/>
    <w:next w:val="1"/>
    <w:link w:val="10"/>
    <w:qFormat/>
    <w:uiPriority w:val="0"/>
    <w:pPr>
      <w:keepNext w:val="0"/>
      <w:keepLines w:val="0"/>
      <w:widowControl w:val="0"/>
      <w:suppressLineNumbers w:val="0"/>
      <w:spacing w:before="240" w:beforeAutospacing="0" w:after="60" w:afterAutospacing="0" w:line="440" w:lineRule="exact"/>
      <w:ind w:left="0" w:right="0"/>
      <w:jc w:val="center"/>
      <w:outlineLvl w:val="0"/>
    </w:pPr>
    <w:rPr>
      <w:rFonts w:hint="default" w:ascii="Cambria" w:hAnsi="Cambria" w:eastAsia="Arial Unicode MS" w:cs="Times New Roman"/>
      <w:b/>
      <w:kern w:val="2"/>
      <w:sz w:val="32"/>
      <w:szCs w:val="32"/>
      <w:lang w:val="en-US" w:eastAsia="zh-CN" w:bidi="ar"/>
    </w:rPr>
  </w:style>
  <w:style w:type="character" w:styleId="9">
    <w:name w:val="Hyperlink"/>
    <w:basedOn w:val="8"/>
    <w:qFormat/>
    <w:uiPriority w:val="0"/>
    <w:rPr>
      <w:color w:val="0000FF"/>
      <w:u w:val="single"/>
    </w:rPr>
  </w:style>
  <w:style w:type="character" w:customStyle="1" w:styleId="10">
    <w:name w:val="标题 字符"/>
    <w:basedOn w:val="8"/>
    <w:link w:val="6"/>
    <w:qFormat/>
    <w:uiPriority w:val="0"/>
    <w:rPr>
      <w:rFonts w:hint="default" w:ascii="Cambria" w:hAnsi="Cambria" w:eastAsia="Arial Unicode MS" w:cs="Times New Roman"/>
      <w:b/>
      <w:sz w:val="32"/>
      <w:szCs w:val="32"/>
    </w:rPr>
  </w:style>
  <w:style w:type="character" w:customStyle="1" w:styleId="11">
    <w:name w:val="正文文本 字符"/>
    <w:basedOn w:val="8"/>
    <w:link w:val="3"/>
    <w:qFormat/>
    <w:uiPriority w:val="0"/>
    <w:rPr>
      <w:rFonts w:hint="default" w:ascii="Tahoma" w:hAnsi="Tahoma" w:eastAsia="Arial Unicode MS" w:cs="Times New Roman"/>
      <w:szCs w:val="24"/>
    </w:rPr>
  </w:style>
  <w:style w:type="character" w:customStyle="1" w:styleId="12">
    <w:name w:val="标题 4 字符"/>
    <w:basedOn w:val="8"/>
    <w:link w:val="2"/>
    <w:qFormat/>
    <w:uiPriority w:val="0"/>
    <w:rPr>
      <w:rFonts w:ascii="等线 Light" w:hAnsi="等线 Light" w:eastAsia="等线 Light" w:cs="Times New Roman"/>
      <w:b/>
      <w:bCs/>
      <w:sz w:val="28"/>
      <w:szCs w:val="2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2943</Words>
  <Characters>3037</Characters>
  <Lines>0</Lines>
  <Paragraphs>0</Paragraphs>
  <TotalTime>0</TotalTime>
  <ScaleCrop>false</ScaleCrop>
  <LinksUpToDate>false</LinksUpToDate>
  <CharactersWithSpaces>3177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2023-09-27T07:27:00Z</dcterms:created>
  <dc:creator>比心</dc:creator>
  <cp:lastModifiedBy>艳儿</cp:lastModifiedBy>
  <dcterms:modified xsi:type="dcterms:W3CDTF">2025-06-05T04:08:15Z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541B1A19D1604010865E758D008821AC_13</vt:lpwstr>
  </property>
  <property fmtid="{D5CDD505-2E9C-101B-9397-08002B2CF9AE}" pid="4" name="KSOTemplateDocerSaveRecord">
    <vt:lpwstr>eyJoZGlkIjoiMWIxNWRlZDdhODc4YWFhNTI4NzZhNTY3YTRkN2EwNDkiLCJ1c2VySWQiOiI3Mjg2ODcwMDQifQ==</vt:lpwstr>
  </property>
</Properties>
</file>