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版本号：SZ32511-GP-XC-051H20250529001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纸尿裤采购项目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SZ32511-GP-XC-051H</w:t>
      </w:r>
      <w:r>
        <w:br/>
      </w:r>
      <w:r>
        <w:br/>
      </w:r>
      <w:r>
        <w:br/>
      </w:r>
    </w:p>
    <w:p>
      <w:pPr>
        <w:pStyle w:val="null3"/>
        <w:jc w:val="center"/>
        <w:outlineLvl w:val="2"/>
      </w:pPr>
      <w:r>
        <w:rPr>
          <w:rFonts w:ascii="仿宋_GB2312" w:hAnsi="仿宋_GB2312" w:cs="仿宋_GB2312" w:eastAsia="仿宋_GB2312"/>
          <w:sz w:val="28"/>
          <w:b/>
        </w:rPr>
        <w:t>西安市儿童福利院</w:t>
      </w:r>
    </w:p>
    <w:p>
      <w:pPr>
        <w:pStyle w:val="null3"/>
        <w:jc w:val="center"/>
        <w:outlineLvl w:val="2"/>
      </w:pPr>
      <w:r>
        <w:rPr>
          <w:rFonts w:ascii="仿宋_GB2312" w:hAnsi="仿宋_GB2312" w:cs="仿宋_GB2312" w:eastAsia="仿宋_GB2312"/>
          <w:sz w:val="28"/>
          <w:b/>
        </w:rPr>
        <w:t>陕西省招标有限责任公司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陕西省招标有限责任公司</w:t>
      </w:r>
      <w:r>
        <w:rPr>
          <w:rFonts w:ascii="仿宋_GB2312" w:hAnsi="仿宋_GB2312" w:cs="仿宋_GB2312" w:eastAsia="仿宋_GB2312"/>
        </w:rPr>
        <w:t>（以下简称“代理机构”）受</w:t>
      </w:r>
      <w:r>
        <w:rPr>
          <w:rFonts w:ascii="仿宋_GB2312" w:hAnsi="仿宋_GB2312" w:cs="仿宋_GB2312" w:eastAsia="仿宋_GB2312"/>
        </w:rPr>
        <w:t>西安市儿童福利院</w:t>
      </w:r>
      <w:r>
        <w:rPr>
          <w:rFonts w:ascii="仿宋_GB2312" w:hAnsi="仿宋_GB2312" w:cs="仿宋_GB2312" w:eastAsia="仿宋_GB2312"/>
        </w:rPr>
        <w:t>委托，拟对</w:t>
      </w:r>
      <w:r>
        <w:rPr>
          <w:rFonts w:ascii="仿宋_GB2312" w:hAnsi="仿宋_GB2312" w:cs="仿宋_GB2312" w:eastAsia="仿宋_GB2312"/>
        </w:rPr>
        <w:t>纸尿裤采购项目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SZ32511-GP-XC-051H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纸尿裤采购项目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拟为西安市儿童福利院孩子采购1批儿童用纸尿裤，包含多种规格，以满足不同情况下儿童的需求。质量要求：避免让儿童使用中出现过敏、红臀等质量问题。</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1、具有独立承担民事责任能力的法人、其他组织或自然人：法人或者其他组织的营业执照等证明文件，自然人的身份证明。</w:t>
      </w:r>
    </w:p>
    <w:p>
      <w:pPr>
        <w:pStyle w:val="null3"/>
      </w:pPr>
      <w:r>
        <w:rPr>
          <w:rFonts w:ascii="仿宋_GB2312" w:hAnsi="仿宋_GB2312" w:cs="仿宋_GB2312" w:eastAsia="仿宋_GB2312"/>
        </w:rPr>
        <w:t>2、法定代表人身份证明或法定代表人授权委托书：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p>
      <w:pPr>
        <w:pStyle w:val="null3"/>
      </w:pPr>
      <w:r>
        <w:rPr>
          <w:rFonts w:ascii="仿宋_GB2312" w:hAnsi="仿宋_GB2312" w:cs="仿宋_GB2312" w:eastAsia="仿宋_GB2312"/>
        </w:rPr>
        <w:t>3、财务状况报告：投标人提供2023年度或2024年度经审计的财务报告或投标截止日前三个月内开户银行出具的资信证明文件或财政部门认可的政府采购专业担保机构开具的投标担保函。</w:t>
      </w:r>
    </w:p>
    <w:p>
      <w:pPr>
        <w:pStyle w:val="null3"/>
      </w:pPr>
      <w:r>
        <w:rPr>
          <w:rFonts w:ascii="仿宋_GB2312" w:hAnsi="仿宋_GB2312" w:cs="仿宋_GB2312" w:eastAsia="仿宋_GB2312"/>
        </w:rPr>
        <w:t>4、税收缴纳证明：依法缴纳税收的良好记录（提供投标截止时间前六个月内任意一个月份依法纳税证明或无欠税证明）依法免税的投标人应提供相关资料证明。 ）</w:t>
      </w:r>
    </w:p>
    <w:p>
      <w:pPr>
        <w:pStyle w:val="null3"/>
      </w:pPr>
      <w:r>
        <w:rPr>
          <w:rFonts w:ascii="仿宋_GB2312" w:hAnsi="仿宋_GB2312" w:cs="仿宋_GB2312" w:eastAsia="仿宋_GB2312"/>
        </w:rPr>
        <w:t>5、社会保障资金缴纳证明：依法缴纳社会保障资金的良好记录（提供投标截止时间前六个月内任意一个月份的缴费证明资料）依法不需要缴纳社会保障资金的投标人应提供相关资料证明。</w:t>
      </w:r>
    </w:p>
    <w:p>
      <w:pPr>
        <w:pStyle w:val="null3"/>
      </w:pPr>
      <w:r>
        <w:rPr>
          <w:rFonts w:ascii="仿宋_GB2312" w:hAnsi="仿宋_GB2312" w:cs="仿宋_GB2312" w:eastAsia="仿宋_GB2312"/>
        </w:rPr>
        <w:t>6、承诺函：提供具有履行合同所必须的设备和专业技术能力 （提供承诺函）。</w:t>
      </w:r>
    </w:p>
    <w:p>
      <w:pPr>
        <w:pStyle w:val="null3"/>
      </w:pPr>
      <w:r>
        <w:rPr>
          <w:rFonts w:ascii="仿宋_GB2312" w:hAnsi="仿宋_GB2312" w:cs="仿宋_GB2312" w:eastAsia="仿宋_GB2312"/>
        </w:rPr>
        <w:t>7、书面声明：参加政府采购活动前三年内，在经营活动中没有重大违法记录的书面声明。</w:t>
      </w:r>
    </w:p>
    <w:p>
      <w:pPr>
        <w:pStyle w:val="null3"/>
      </w:pPr>
      <w:r>
        <w:rPr>
          <w:rFonts w:ascii="仿宋_GB2312" w:hAnsi="仿宋_GB2312" w:cs="仿宋_GB2312" w:eastAsia="仿宋_GB2312"/>
        </w:rPr>
        <w:t>8、信用截图：投标人不得为“信用中国”网站中列入失信被执行人、重大税收违法失信主体的投标单位、不得为中国政府采购网政府采购严重违法失信行为记录名单中被财政部门禁止参加政府采购活动的投标单位。（提供网站截图或以代理机构开标当天查询结果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西安市儿童福利院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西安市未央区新广路98号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029-86315084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陕西省西安市碑林区西安市和平路108号佳腾大厦7楼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朱颖华、孙东、翟燕荣、宋治南、李秋鹏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029-87517633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降低部分建设项目收费标准规范收费行为等有关问题的通知》（发改价格[2011]534号）规定的标准收费，由中标人在《中标通知书》发出前直接支付给招标代理单位。（本项目报价为单价报价，故招标代理服务费由中标人按采购预算为基数按标准计费） 代理费缴纳账号： 开户名称：陕西省招标有限责任公司 开户银行：招商银行西安朝阳门支行 银行账户：129904242010801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西安市儿童福利院</w:t>
      </w:r>
      <w:r>
        <w:rPr>
          <w:rFonts w:ascii="仿宋_GB2312" w:hAnsi="仿宋_GB2312" w:cs="仿宋_GB2312" w:eastAsia="仿宋_GB2312"/>
        </w:rPr>
        <w:t>和</w:t>
      </w:r>
      <w:r>
        <w:rPr>
          <w:rFonts w:ascii="仿宋_GB2312" w:hAnsi="仿宋_GB2312" w:cs="仿宋_GB2312" w:eastAsia="仿宋_GB2312"/>
        </w:rPr>
        <w:t>陕西省招标有限责任公司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西安市儿童福利院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西安市儿童福利院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联系人：胡蕊</w:t>
      </w:r>
    </w:p>
    <w:p>
      <w:pPr>
        <w:pStyle w:val="null3"/>
      </w:pPr>
      <w:r>
        <w:rPr>
          <w:rFonts w:ascii="仿宋_GB2312" w:hAnsi="仿宋_GB2312" w:cs="仿宋_GB2312" w:eastAsia="仿宋_GB2312"/>
        </w:rPr>
        <w:t>联系电话：029-87517633</w:t>
      </w:r>
    </w:p>
    <w:p>
      <w:pPr>
        <w:pStyle w:val="null3"/>
      </w:pPr>
      <w:r>
        <w:rPr>
          <w:rFonts w:ascii="仿宋_GB2312" w:hAnsi="仿宋_GB2312" w:cs="仿宋_GB2312" w:eastAsia="仿宋_GB2312"/>
        </w:rPr>
        <w:t>地址：西安市和平路108号佳腾大厦7楼</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拟为西安市儿童福利院孩子采购1批儿童用纸尿裤，包含多种规格，以满足不同情况下儿童的需求。质量要求：避免让儿童使用中出现过敏、红臀等质量问题。</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1,020,000.00</w:t>
      </w:r>
    </w:p>
    <w:p>
      <w:pPr>
        <w:pStyle w:val="null3"/>
      </w:pPr>
      <w:r>
        <w:rPr>
          <w:rFonts w:ascii="仿宋_GB2312" w:hAnsi="仿宋_GB2312" w:cs="仿宋_GB2312" w:eastAsia="仿宋_GB2312"/>
        </w:rPr>
        <w:t>采购包最高限价（元）: 1,020,000.00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纸尿裤采购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标的名称：纸尿裤采购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2"/>
              <w:jc w:val="both"/>
            </w:pPr>
            <w:r>
              <w:rPr>
                <w:rFonts w:ascii="仿宋_GB2312" w:hAnsi="仿宋_GB2312" w:cs="仿宋_GB2312" w:eastAsia="仿宋_GB2312"/>
                <w:sz w:val="21"/>
                <w:b/>
              </w:rPr>
              <w:t>一、付款方式：</w:t>
            </w:r>
            <w:r>
              <w:rPr>
                <w:rFonts w:ascii="仿宋_GB2312" w:hAnsi="仿宋_GB2312" w:cs="仿宋_GB2312" w:eastAsia="仿宋_GB2312"/>
                <w:sz w:val="21"/>
                <w:b/>
              </w:rPr>
              <w:t>合同签订后</w:t>
            </w:r>
            <w:r>
              <w:rPr>
                <w:rFonts w:ascii="仿宋_GB2312" w:hAnsi="仿宋_GB2312" w:cs="仿宋_GB2312" w:eastAsia="仿宋_GB2312"/>
                <w:sz w:val="21"/>
                <w:b/>
              </w:rPr>
              <w:t>10个工作日内支付合同总额的30%预付款，接到采购人订单后，中标人将货物运到采购人指定地点。据实验收合格后，供应商凭本批次送货清单、验收单、合同、中标通知书及发票原件办理结算手续。</w:t>
            </w:r>
          </w:p>
          <w:p>
            <w:pPr>
              <w:pStyle w:val="null3"/>
              <w:ind w:firstLine="422"/>
              <w:jc w:val="both"/>
            </w:pPr>
            <w:r>
              <w:rPr>
                <w:rFonts w:ascii="仿宋_GB2312" w:hAnsi="仿宋_GB2312" w:cs="仿宋_GB2312" w:eastAsia="仿宋_GB2312"/>
                <w:sz w:val="21"/>
                <w:b/>
              </w:rPr>
              <w:t>二、交货期限：合同签订之日起至2025年12月31日。接到采购人通知7天内交付完毕。</w:t>
            </w:r>
          </w:p>
          <w:p>
            <w:pPr>
              <w:pStyle w:val="null3"/>
              <w:ind w:firstLine="422"/>
              <w:jc w:val="both"/>
            </w:pPr>
            <w:r>
              <w:rPr>
                <w:rFonts w:ascii="仿宋_GB2312" w:hAnsi="仿宋_GB2312" w:cs="仿宋_GB2312" w:eastAsia="仿宋_GB2312"/>
                <w:sz w:val="21"/>
                <w:b/>
              </w:rPr>
              <w:t>三、质</w:t>
            </w:r>
            <w:r>
              <w:rPr>
                <w:rFonts w:ascii="仿宋_GB2312" w:hAnsi="仿宋_GB2312" w:cs="仿宋_GB2312" w:eastAsia="仿宋_GB2312"/>
                <w:sz w:val="21"/>
                <w:b/>
              </w:rPr>
              <w:t>保</w:t>
            </w:r>
            <w:r>
              <w:rPr>
                <w:rFonts w:ascii="仿宋_GB2312" w:hAnsi="仿宋_GB2312" w:cs="仿宋_GB2312" w:eastAsia="仿宋_GB2312"/>
                <w:sz w:val="21"/>
                <w:b/>
              </w:rPr>
              <w:t>期：产品质保期为三年, 交货时货物使用期不少于2年</w:t>
            </w:r>
          </w:p>
          <w:p>
            <w:pPr>
              <w:pStyle w:val="null3"/>
              <w:ind w:firstLine="422"/>
            </w:pPr>
            <w:r>
              <w:rPr>
                <w:rFonts w:ascii="仿宋_GB2312" w:hAnsi="仿宋_GB2312" w:cs="仿宋_GB2312" w:eastAsia="仿宋_GB2312"/>
                <w:sz w:val="21"/>
                <w:b/>
              </w:rPr>
              <w:t>四、交货地点：采购人指定地点</w:t>
            </w:r>
          </w:p>
          <w:p>
            <w:pPr>
              <w:pStyle w:val="null3"/>
              <w:ind w:firstLine="422"/>
              <w:jc w:val="both"/>
            </w:pPr>
            <w:r>
              <w:rPr>
                <w:rFonts w:ascii="仿宋_GB2312" w:hAnsi="仿宋_GB2312" w:cs="仿宋_GB2312" w:eastAsia="仿宋_GB2312"/>
                <w:sz w:val="21"/>
                <w:b/>
              </w:rPr>
              <w:t>五、供应商须提供投标产品的样品（每个规格提供1份样品）。开标当日用小型纸箱密封提交，未密封提交样品不予接受。密封样品标注单位名称。</w:t>
            </w:r>
          </w:p>
          <w:p>
            <w:pPr>
              <w:pStyle w:val="null3"/>
            </w:pPr>
            <w:r>
              <w:rPr>
                <w:rFonts w:ascii="仿宋_GB2312" w:hAnsi="仿宋_GB2312" w:cs="仿宋_GB2312" w:eastAsia="仿宋_GB2312"/>
                <w:sz w:val="21"/>
                <w:b/>
              </w:rPr>
              <w:t xml:space="preserve">  六、本项目为单价招标，投标人需对每一个系列不同尺码单片纸尿裤进行单价报价，且单价报价不得超过单价限价。</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97"/>
              <w:gridCol w:w="189"/>
              <w:gridCol w:w="140"/>
              <w:gridCol w:w="323"/>
              <w:gridCol w:w="177"/>
              <w:gridCol w:w="969"/>
              <w:gridCol w:w="658"/>
              <w:gridCol w:w="0"/>
            </w:tblGrid>
            <w:tr>
              <w:tc>
                <w:tcPr>
                  <w:tcW w:type="dxa" w:w="97"/>
                  <w:vMerge w:val="restart"/>
                  <w:tcBorders>
                    <w:top w:val="single" w:color="000000" w:sz="4"/>
                    <w:left w:val="singl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b/>
                    </w:rPr>
                    <w:t>序号</w:t>
                  </w:r>
                </w:p>
              </w:tc>
              <w:tc>
                <w:tcPr>
                  <w:tcW w:type="dxa" w:w="189"/>
                  <w:vMerge w:val="restart"/>
                  <w:tcBorders>
                    <w:top w:val="singl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b/>
                    </w:rPr>
                    <w:t>货物名称</w:t>
                  </w:r>
                </w:p>
              </w:tc>
              <w:tc>
                <w:tcPr>
                  <w:tcW w:type="dxa" w:w="140"/>
                  <w:vMerge w:val="restart"/>
                  <w:tcBorders>
                    <w:top w:val="singl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b/>
                    </w:rPr>
                    <w:t>尺码</w:t>
                  </w:r>
                </w:p>
              </w:tc>
              <w:tc>
                <w:tcPr>
                  <w:tcW w:type="dxa" w:w="323"/>
                  <w:vMerge w:val="restart"/>
                  <w:tcBorders>
                    <w:top w:val="singl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b/>
                    </w:rPr>
                    <w:t>最高限价</w:t>
                  </w:r>
                  <w:r>
                    <w:br/>
                  </w:r>
                  <w:r>
                    <w:rPr>
                      <w:rFonts w:ascii="仿宋_GB2312" w:hAnsi="仿宋_GB2312" w:cs="仿宋_GB2312" w:eastAsia="仿宋_GB2312"/>
                      <w:sz w:val="21"/>
                      <w:b/>
                    </w:rPr>
                    <w:t>（元/片）</w:t>
                  </w:r>
                </w:p>
              </w:tc>
              <w:tc>
                <w:tcPr>
                  <w:tcW w:type="dxa" w:w="177"/>
                  <w:vMerge w:val="restart"/>
                  <w:tcBorders>
                    <w:top w:val="singl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b/>
                    </w:rPr>
                    <w:t>单位</w:t>
                  </w:r>
                </w:p>
              </w:tc>
              <w:tc>
                <w:tcPr>
                  <w:tcW w:type="dxa" w:w="969"/>
                  <w:vMerge w:val="restart"/>
                  <w:tcBorders>
                    <w:top w:val="singl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b/>
                    </w:rPr>
                    <w:t>技术参数</w:t>
                  </w:r>
                </w:p>
              </w:tc>
              <w:tc>
                <w:tcPr>
                  <w:tcW w:type="dxa" w:w="658"/>
                  <w:vMerge w:val="restart"/>
                  <w:tcBorders>
                    <w:top w:val="singl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b/>
                    </w:rPr>
                    <w:t>产品材质和功能</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97"/>
                  <w:vMerge/>
                  <w:tcBorders>
                    <w:top w:val="single" w:color="000000" w:sz="4"/>
                    <w:left w:val="single" w:color="000000" w:sz="4"/>
                    <w:bottom w:val="single" w:color="000000" w:sz="4"/>
                    <w:right w:val="single" w:color="000000" w:sz="4"/>
                  </w:tcBorders>
                </w:tcPr>
                <w:p/>
              </w:tc>
              <w:tc>
                <w:tcPr>
                  <w:tcW w:type="dxa" w:w="189"/>
                  <w:vMerge/>
                  <w:tcBorders>
                    <w:top w:val="single" w:color="000000" w:sz="4"/>
                    <w:left w:val="none" w:color="000000" w:sz="4"/>
                    <w:bottom w:val="single" w:color="000000" w:sz="4"/>
                    <w:right w:val="single" w:color="000000" w:sz="4"/>
                  </w:tcBorders>
                </w:tcPr>
                <w:p/>
              </w:tc>
              <w:tc>
                <w:tcPr>
                  <w:tcW w:type="dxa" w:w="140"/>
                  <w:vMerge/>
                  <w:tcBorders>
                    <w:top w:val="single" w:color="000000" w:sz="4"/>
                    <w:left w:val="none" w:color="000000" w:sz="4"/>
                    <w:bottom w:val="single" w:color="000000" w:sz="4"/>
                    <w:right w:val="single" w:color="000000" w:sz="4"/>
                  </w:tcBorders>
                </w:tcPr>
                <w:p/>
              </w:tc>
              <w:tc>
                <w:tcPr>
                  <w:tcW w:type="dxa" w:w="323"/>
                  <w:vMerge/>
                  <w:tcBorders>
                    <w:top w:val="single" w:color="000000" w:sz="4"/>
                    <w:left w:val="none" w:color="000000" w:sz="4"/>
                    <w:bottom w:val="single" w:color="000000" w:sz="4"/>
                    <w:right w:val="single" w:color="000000" w:sz="4"/>
                  </w:tcBorders>
                </w:tcPr>
                <w:p/>
              </w:tc>
              <w:tc>
                <w:tcPr>
                  <w:tcW w:type="dxa" w:w="177"/>
                  <w:vMerge/>
                  <w:tcBorders>
                    <w:top w:val="single" w:color="000000" w:sz="4"/>
                    <w:left w:val="none" w:color="000000" w:sz="4"/>
                    <w:bottom w:val="single" w:color="000000" w:sz="4"/>
                    <w:right w:val="single" w:color="000000" w:sz="4"/>
                  </w:tcBorders>
                </w:tcPr>
                <w:p/>
              </w:tc>
              <w:tc>
                <w:tcPr>
                  <w:tcW w:type="dxa" w:w="969"/>
                  <w:vMerge/>
                  <w:tcBorders>
                    <w:top w:val="single" w:color="000000" w:sz="4"/>
                    <w:left w:val="none" w:color="000000" w:sz="4"/>
                    <w:bottom w:val="single" w:color="000000" w:sz="4"/>
                    <w:right w:val="single" w:color="000000" w:sz="4"/>
                  </w:tcBorders>
                </w:tcPr>
                <w:p/>
              </w:tc>
              <w:tc>
                <w:tcPr>
                  <w:tcW w:type="dxa" w:w="658"/>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97"/>
                  <w:tcBorders>
                    <w:top w:val="none" w:color="000000" w:sz="4"/>
                    <w:left w:val="singl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1</w:t>
                  </w:r>
                </w:p>
              </w:tc>
              <w:tc>
                <w:tcPr>
                  <w:tcW w:type="dxa" w:w="189"/>
                  <w:vMerge w:val="restart"/>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超强吸收干爽婴儿纸尿裤（核心产品）</w:t>
                  </w:r>
                </w:p>
              </w:tc>
              <w:tc>
                <w:tcPr>
                  <w:tcW w:type="dxa" w:w="140"/>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M</w:t>
                  </w:r>
                </w:p>
              </w:tc>
              <w:tc>
                <w:tcPr>
                  <w:tcW w:type="dxa" w:w="323"/>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1.80</w:t>
                  </w:r>
                </w:p>
              </w:tc>
              <w:tc>
                <w:tcPr>
                  <w:tcW w:type="dxa" w:w="177"/>
                  <w:vMerge w:val="restart"/>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片</w:t>
                  </w:r>
                </w:p>
              </w:tc>
              <w:tc>
                <w:tcPr>
                  <w:tcW w:type="dxa" w:w="969"/>
                  <w:vMerge w:val="restart"/>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、PH值：4.0-8.0；</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、交货水分：≤10.0%；</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、细菌菌落总数≤20CFU/g；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rPr>
                    <w:t>渗透性能：回渗量≤10.0g，渗漏量≤1.0g；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b/>
                    </w:rPr>
                    <w:t>5</w:t>
                  </w:r>
                  <w:r>
                    <w:rPr>
                      <w:rFonts w:ascii="仿宋_GB2312" w:hAnsi="仿宋_GB2312" w:cs="仿宋_GB2312" w:eastAsia="仿宋_GB2312"/>
                      <w:sz w:val="21"/>
                      <w:b/>
                    </w:rPr>
                    <w:t>、</w:t>
                  </w:r>
                  <w:r>
                    <w:rPr>
                      <w:rFonts w:ascii="仿宋_GB2312" w:hAnsi="仿宋_GB2312" w:cs="仿宋_GB2312" w:eastAsia="仿宋_GB2312"/>
                      <w:sz w:val="21"/>
                    </w:rPr>
                    <w:t>真菌菌落总数≤20CFU/g；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b/>
                    </w:rPr>
                    <w:t>6</w:t>
                  </w:r>
                  <w:r>
                    <w:rPr>
                      <w:rFonts w:ascii="仿宋_GB2312" w:hAnsi="仿宋_GB2312" w:cs="仿宋_GB2312" w:eastAsia="仿宋_GB2312"/>
                      <w:sz w:val="21"/>
                      <w:b/>
                    </w:rPr>
                    <w:t xml:space="preserve">、 </w:t>
                  </w:r>
                  <w:r>
                    <w:rPr>
                      <w:rFonts w:ascii="仿宋_GB2312" w:hAnsi="仿宋_GB2312" w:cs="仿宋_GB2312" w:eastAsia="仿宋_GB2312"/>
                      <w:sz w:val="21"/>
                    </w:rPr>
                    <w:t>且不得检出大肠杆菌、绿脓杆菌、金黄色葡萄球菌、溶血性链球菌；</w:t>
                  </w:r>
                </w:p>
                <w:p>
                  <w:pPr>
                    <w:pStyle w:val="null3"/>
                    <w:jc w:val="center"/>
                  </w:pPr>
                  <w:r>
                    <w:rPr>
                      <w:rFonts w:ascii="仿宋_GB2312" w:hAnsi="仿宋_GB2312" w:cs="仿宋_GB2312" w:eastAsia="仿宋_GB2312"/>
                      <w:sz w:val="21"/>
                    </w:rPr>
                    <w:t>以上参数须提供每个规格的检测报告。</w:t>
                  </w:r>
                </w:p>
              </w:tc>
              <w:tc>
                <w:tcPr>
                  <w:tcW w:type="dxa" w:w="658"/>
                  <w:vMerge w:val="restart"/>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pPr>
                  <w:r>
                    <w:rPr>
                      <w:rFonts w:ascii="仿宋_GB2312" w:hAnsi="仿宋_GB2312" w:cs="仿宋_GB2312" w:eastAsia="仿宋_GB2312"/>
                      <w:sz w:val="21"/>
                    </w:rPr>
                    <w:t>1</w:t>
                  </w:r>
                  <w:r>
                    <w:rPr>
                      <w:rFonts w:ascii="仿宋_GB2312" w:hAnsi="仿宋_GB2312" w:cs="仿宋_GB2312" w:eastAsia="仿宋_GB2312"/>
                      <w:sz w:val="21"/>
                    </w:rPr>
                    <w:t>、纸尿裤整体洁净，不掉色，面层手感柔软；</w:t>
                  </w:r>
                </w:p>
                <w:p>
                  <w:pPr>
                    <w:pStyle w:val="null3"/>
                  </w:pPr>
                  <w:r>
                    <w:rPr>
                      <w:rFonts w:ascii="仿宋_GB2312" w:hAnsi="仿宋_GB2312" w:cs="仿宋_GB2312" w:eastAsia="仿宋_GB2312"/>
                      <w:sz w:val="21"/>
                    </w:rPr>
                    <w:t>2</w:t>
                  </w:r>
                  <w:r>
                    <w:rPr>
                      <w:rFonts w:ascii="仿宋_GB2312" w:hAnsi="仿宋_GB2312" w:cs="仿宋_GB2312" w:eastAsia="仿宋_GB2312"/>
                      <w:sz w:val="21"/>
                    </w:rPr>
                    <w:t>、三层锁水，可多次吸收，使用时间长达12小时，不反渗，</w:t>
                  </w:r>
                  <w:r>
                    <w:rPr>
                      <w:rFonts w:ascii="仿宋_GB2312" w:hAnsi="仿宋_GB2312" w:cs="仿宋_GB2312" w:eastAsia="仿宋_GB2312"/>
                      <w:sz w:val="21"/>
                    </w:rPr>
                    <w:t>吸水量</w:t>
                  </w:r>
                  <w:r>
                    <w:rPr>
                      <w:rFonts w:ascii="仿宋_GB2312" w:hAnsi="仿宋_GB2312" w:cs="仿宋_GB2312" w:eastAsia="仿宋_GB2312"/>
                      <w:sz w:val="21"/>
                    </w:rPr>
                    <w:t>≥自身重量的30倍，面层干爽”；</w:t>
                  </w:r>
                </w:p>
                <w:p>
                  <w:pPr>
                    <w:pStyle w:val="null3"/>
                  </w:pPr>
                  <w:r>
                    <w:rPr>
                      <w:rFonts w:ascii="仿宋_GB2312" w:hAnsi="仿宋_GB2312" w:cs="仿宋_GB2312" w:eastAsia="仿宋_GB2312"/>
                      <w:sz w:val="21"/>
                    </w:rPr>
                    <w:t>3</w:t>
                  </w:r>
                  <w:r>
                    <w:rPr>
                      <w:rFonts w:ascii="仿宋_GB2312" w:hAnsi="仿宋_GB2312" w:cs="仿宋_GB2312" w:eastAsia="仿宋_GB2312"/>
                      <w:sz w:val="21"/>
                    </w:rPr>
                    <w:t>、柔软无纺布面层，环保透气底膜，柔软舒适，迅速干爽；</w:t>
                  </w:r>
                </w:p>
                <w:p>
                  <w:pPr>
                    <w:pStyle w:val="null3"/>
                  </w:pPr>
                  <w:r>
                    <w:rPr>
                      <w:rFonts w:ascii="仿宋_GB2312" w:hAnsi="仿宋_GB2312" w:cs="仿宋_GB2312" w:eastAsia="仿宋_GB2312"/>
                      <w:sz w:val="21"/>
                    </w:rPr>
                    <w:t>4</w:t>
                  </w:r>
                  <w:r>
                    <w:rPr>
                      <w:rFonts w:ascii="仿宋_GB2312" w:hAnsi="仿宋_GB2312" w:cs="仿宋_GB2312" w:eastAsia="仿宋_GB2312"/>
                      <w:sz w:val="21"/>
                    </w:rPr>
                    <w:t>、整片吸收芯体结构，不断层、不结块；</w:t>
                  </w:r>
                </w:p>
                <w:p>
                  <w:pPr>
                    <w:pStyle w:val="null3"/>
                  </w:pPr>
                  <w:r>
                    <w:rPr>
                      <w:rFonts w:ascii="仿宋_GB2312" w:hAnsi="仿宋_GB2312" w:cs="仿宋_GB2312" w:eastAsia="仿宋_GB2312"/>
                      <w:sz w:val="21"/>
                    </w:rPr>
                    <w:t>5</w:t>
                  </w:r>
                  <w:r>
                    <w:rPr>
                      <w:rFonts w:ascii="仿宋_GB2312" w:hAnsi="仿宋_GB2312" w:cs="仿宋_GB2312" w:eastAsia="仿宋_GB2312"/>
                      <w:sz w:val="21"/>
                    </w:rPr>
                    <w:t>、新环抱式腰围及腰贴，外加左右魔术扣，自由调节定位；</w:t>
                  </w:r>
                </w:p>
                <w:p>
                  <w:pPr>
                    <w:pStyle w:val="null3"/>
                  </w:pPr>
                  <w:r>
                    <w:rPr>
                      <w:rFonts w:ascii="仿宋_GB2312" w:hAnsi="仿宋_GB2312" w:cs="仿宋_GB2312" w:eastAsia="仿宋_GB2312"/>
                      <w:sz w:val="21"/>
                    </w:rPr>
                    <w:t>6</w:t>
                  </w:r>
                  <w:r>
                    <w:rPr>
                      <w:rFonts w:ascii="仿宋_GB2312" w:hAnsi="仿宋_GB2312" w:cs="仿宋_GB2312" w:eastAsia="仿宋_GB2312"/>
                      <w:sz w:val="21"/>
                    </w:rPr>
                    <w:t>、有尿显功能，方便观察。</w:t>
                  </w:r>
                </w:p>
              </w:tc>
              <w:tc>
                <w:tcPr>
                  <w:tcW w:type="dxa" w:w="0"/>
                  <w:tcBorders>
                    <w:top w:val="none" w:color="000000" w:sz="4"/>
                    <w:left w:val="none" w:color="000000" w:sz="4"/>
                    <w:bottom w:val="none" w:color="000000" w:sz="4"/>
                    <w:right w:val="none" w:color="000000" w:sz="4"/>
                  </w:tcBorders>
                </w:tcPr>
                <w:p>
                  <w:pPr>
                    <w:pStyle w:val="null3"/>
                    <w:jc w:val="both"/>
                  </w:pPr>
                  <w:r>
                    <w:rPr>
                      <w:rFonts w:ascii="仿宋_GB2312" w:hAnsi="仿宋_GB2312" w:cs="仿宋_GB2312" w:eastAsia="仿宋_GB2312"/>
                      <w:sz w:val="21"/>
                    </w:rPr>
                    <w:t xml:space="preserve"> </w:t>
                  </w:r>
                </w:p>
              </w:tc>
            </w:tr>
            <w:tr>
              <w:tc>
                <w:tcPr>
                  <w:tcW w:type="dxa" w:w="97"/>
                  <w:tcBorders>
                    <w:top w:val="none" w:color="000000" w:sz="4"/>
                    <w:left w:val="singl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2</w:t>
                  </w:r>
                </w:p>
              </w:tc>
              <w:tc>
                <w:tcPr>
                  <w:tcW w:type="dxa" w:w="18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L</w:t>
                  </w:r>
                </w:p>
              </w:tc>
              <w:tc>
                <w:tcPr>
                  <w:tcW w:type="dxa" w:w="323"/>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2.30</w:t>
                  </w:r>
                </w:p>
              </w:tc>
              <w:tc>
                <w:tcPr>
                  <w:tcW w:type="dxa" w:w="177"/>
                  <w:vMerge/>
                  <w:tcBorders>
                    <w:top w:val="none" w:color="000000" w:sz="4"/>
                    <w:left w:val="none" w:color="000000" w:sz="4"/>
                    <w:bottom w:val="single" w:color="000000" w:sz="4"/>
                    <w:right w:val="single" w:color="000000" w:sz="4"/>
                  </w:tcBorders>
                </w:tcPr>
                <w:p/>
              </w:tc>
              <w:tc>
                <w:tcPr>
                  <w:tcW w:type="dxa" w:w="969"/>
                  <w:vMerge/>
                  <w:tcBorders>
                    <w:top w:val="none" w:color="000000" w:sz="4"/>
                    <w:left w:val="non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both"/>
                  </w:pPr>
                  <w:r>
                    <w:rPr>
                      <w:rFonts w:ascii="仿宋_GB2312" w:hAnsi="仿宋_GB2312" w:cs="仿宋_GB2312" w:eastAsia="仿宋_GB2312"/>
                      <w:sz w:val="21"/>
                    </w:rPr>
                    <w:t xml:space="preserve"> </w:t>
                  </w:r>
                </w:p>
              </w:tc>
            </w:tr>
            <w:tr>
              <w:tc>
                <w:tcPr>
                  <w:tcW w:type="dxa" w:w="97"/>
                  <w:tcBorders>
                    <w:top w:val="none" w:color="000000" w:sz="4"/>
                    <w:left w:val="singl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3</w:t>
                  </w:r>
                </w:p>
              </w:tc>
              <w:tc>
                <w:tcPr>
                  <w:tcW w:type="dxa" w:w="18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XL</w:t>
                  </w:r>
                </w:p>
              </w:tc>
              <w:tc>
                <w:tcPr>
                  <w:tcW w:type="dxa" w:w="323"/>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2.60</w:t>
                  </w:r>
                </w:p>
              </w:tc>
              <w:tc>
                <w:tcPr>
                  <w:tcW w:type="dxa" w:w="177"/>
                  <w:vMerge/>
                  <w:tcBorders>
                    <w:top w:val="none" w:color="000000" w:sz="4"/>
                    <w:left w:val="none" w:color="000000" w:sz="4"/>
                    <w:bottom w:val="single" w:color="000000" w:sz="4"/>
                    <w:right w:val="single" w:color="000000" w:sz="4"/>
                  </w:tcBorders>
                </w:tcPr>
                <w:p/>
              </w:tc>
              <w:tc>
                <w:tcPr>
                  <w:tcW w:type="dxa" w:w="969"/>
                  <w:vMerge/>
                  <w:tcBorders>
                    <w:top w:val="none" w:color="000000" w:sz="4"/>
                    <w:left w:val="non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both"/>
                  </w:pPr>
                  <w:r>
                    <w:rPr>
                      <w:rFonts w:ascii="仿宋_GB2312" w:hAnsi="仿宋_GB2312" w:cs="仿宋_GB2312" w:eastAsia="仿宋_GB2312"/>
                      <w:sz w:val="21"/>
                    </w:rPr>
                    <w:t xml:space="preserve"> </w:t>
                  </w:r>
                </w:p>
              </w:tc>
            </w:tr>
            <w:tr>
              <w:tc>
                <w:tcPr>
                  <w:tcW w:type="dxa" w:w="97"/>
                  <w:tcBorders>
                    <w:top w:val="none" w:color="000000" w:sz="4"/>
                    <w:left w:val="singl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4</w:t>
                  </w:r>
                </w:p>
              </w:tc>
              <w:tc>
                <w:tcPr>
                  <w:tcW w:type="dxa" w:w="18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XXL</w:t>
                  </w:r>
                </w:p>
              </w:tc>
              <w:tc>
                <w:tcPr>
                  <w:tcW w:type="dxa" w:w="323"/>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3.08</w:t>
                  </w:r>
                </w:p>
              </w:tc>
              <w:tc>
                <w:tcPr>
                  <w:tcW w:type="dxa" w:w="177"/>
                  <w:vMerge/>
                  <w:tcBorders>
                    <w:top w:val="none" w:color="000000" w:sz="4"/>
                    <w:left w:val="none" w:color="000000" w:sz="4"/>
                    <w:bottom w:val="single" w:color="000000" w:sz="4"/>
                    <w:right w:val="single" w:color="000000" w:sz="4"/>
                  </w:tcBorders>
                </w:tcPr>
                <w:p/>
              </w:tc>
              <w:tc>
                <w:tcPr>
                  <w:tcW w:type="dxa" w:w="969"/>
                  <w:vMerge/>
                  <w:tcBorders>
                    <w:top w:val="none" w:color="000000" w:sz="4"/>
                    <w:left w:val="non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both"/>
                  </w:pPr>
                  <w:r>
                    <w:rPr>
                      <w:rFonts w:ascii="仿宋_GB2312" w:hAnsi="仿宋_GB2312" w:cs="仿宋_GB2312" w:eastAsia="仿宋_GB2312"/>
                      <w:sz w:val="21"/>
                    </w:rPr>
                    <w:t xml:space="preserve"> </w:t>
                  </w:r>
                </w:p>
              </w:tc>
            </w:tr>
            <w:tr>
              <w:tc>
                <w:tcPr>
                  <w:tcW w:type="dxa" w:w="97"/>
                  <w:tcBorders>
                    <w:top w:val="none" w:color="000000" w:sz="4"/>
                    <w:left w:val="singl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5</w:t>
                  </w:r>
                </w:p>
              </w:tc>
              <w:tc>
                <w:tcPr>
                  <w:tcW w:type="dxa" w:w="189"/>
                  <w:vMerge w:val="restart"/>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幼儿学步拉拉裤</w:t>
                  </w:r>
                </w:p>
              </w:tc>
              <w:tc>
                <w:tcPr>
                  <w:tcW w:type="dxa" w:w="140"/>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L</w:t>
                  </w:r>
                </w:p>
              </w:tc>
              <w:tc>
                <w:tcPr>
                  <w:tcW w:type="dxa" w:w="323"/>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2.95</w:t>
                  </w:r>
                </w:p>
              </w:tc>
              <w:tc>
                <w:tcPr>
                  <w:tcW w:type="dxa" w:w="177"/>
                  <w:vMerge w:val="restart"/>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片</w:t>
                  </w:r>
                </w:p>
              </w:tc>
              <w:tc>
                <w:tcPr>
                  <w:tcW w:type="dxa" w:w="969"/>
                  <w:vMerge w:val="restart"/>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、PH值：4.0-8.0；</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、交货水分：≤10.0%；</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、细菌菌落总数≤20cfu/g；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rPr>
                    <w:t>渗透性能：回渗量≤10.0g，渗漏量≤0.5g；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b/>
                    </w:rPr>
                    <w:t>5</w:t>
                  </w:r>
                  <w:r>
                    <w:rPr>
                      <w:rFonts w:ascii="仿宋_GB2312" w:hAnsi="仿宋_GB2312" w:cs="仿宋_GB2312" w:eastAsia="仿宋_GB2312"/>
                      <w:sz w:val="21"/>
                      <w:b/>
                    </w:rPr>
                    <w:t>、</w:t>
                  </w:r>
                  <w:r>
                    <w:rPr>
                      <w:rFonts w:ascii="仿宋_GB2312" w:hAnsi="仿宋_GB2312" w:cs="仿宋_GB2312" w:eastAsia="仿宋_GB2312"/>
                      <w:sz w:val="21"/>
                    </w:rPr>
                    <w:t>真菌菌落总数≤20cfu/g；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b/>
                    </w:rPr>
                    <w:t>6</w:t>
                  </w:r>
                  <w:r>
                    <w:rPr>
                      <w:rFonts w:ascii="仿宋_GB2312" w:hAnsi="仿宋_GB2312" w:cs="仿宋_GB2312" w:eastAsia="仿宋_GB2312"/>
                      <w:sz w:val="21"/>
                      <w:b/>
                    </w:rPr>
                    <w:t xml:space="preserve">、 </w:t>
                  </w:r>
                  <w:r>
                    <w:rPr>
                      <w:rFonts w:ascii="仿宋_GB2312" w:hAnsi="仿宋_GB2312" w:cs="仿宋_GB2312" w:eastAsia="仿宋_GB2312"/>
                      <w:sz w:val="21"/>
                    </w:rPr>
                    <w:t>且不得检出大肠杆菌、绿脓杆菌、金黄色葡萄球菌、溶血性链球菌；</w:t>
                  </w:r>
                </w:p>
                <w:p>
                  <w:pPr>
                    <w:pStyle w:val="null3"/>
                    <w:jc w:val="center"/>
                  </w:pPr>
                  <w:r>
                    <w:rPr>
                      <w:rFonts w:ascii="仿宋_GB2312" w:hAnsi="仿宋_GB2312" w:cs="仿宋_GB2312" w:eastAsia="仿宋_GB2312"/>
                      <w:sz w:val="21"/>
                    </w:rPr>
                    <w:t>以上参数须提供每个规格的检测报告。</w:t>
                  </w:r>
                  <w:r>
                    <w:br/>
                  </w:r>
                  <w:r>
                    <w:rPr>
                      <w:rFonts w:ascii="仿宋_GB2312" w:hAnsi="仿宋_GB2312" w:cs="仿宋_GB2312" w:eastAsia="仿宋_GB2312"/>
                    </w:rPr>
                    <w:t xml:space="preserve">  </w:t>
                  </w:r>
                </w:p>
              </w:tc>
              <w:tc>
                <w:tcPr>
                  <w:tcW w:type="dxa" w:w="658"/>
                  <w:vMerge w:val="restart"/>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pPr>
                  <w:r>
                    <w:rPr>
                      <w:rFonts w:ascii="仿宋_GB2312" w:hAnsi="仿宋_GB2312" w:cs="仿宋_GB2312" w:eastAsia="仿宋_GB2312"/>
                      <w:sz w:val="21"/>
                    </w:rPr>
                    <w:t>1</w:t>
                  </w:r>
                  <w:r>
                    <w:rPr>
                      <w:rFonts w:ascii="仿宋_GB2312" w:hAnsi="仿宋_GB2312" w:cs="仿宋_GB2312" w:eastAsia="仿宋_GB2312"/>
                      <w:sz w:val="21"/>
                    </w:rPr>
                    <w:t>、水波纹柔软外表层，轻柔透气；</w:t>
                  </w:r>
                </w:p>
                <w:p>
                  <w:pPr>
                    <w:pStyle w:val="null3"/>
                  </w:pPr>
                  <w:r>
                    <w:rPr>
                      <w:rFonts w:ascii="仿宋_GB2312" w:hAnsi="仿宋_GB2312" w:cs="仿宋_GB2312" w:eastAsia="仿宋_GB2312"/>
                      <w:sz w:val="21"/>
                    </w:rPr>
                    <w:t>2</w:t>
                  </w:r>
                  <w:r>
                    <w:rPr>
                      <w:rFonts w:ascii="仿宋_GB2312" w:hAnsi="仿宋_GB2312" w:cs="仿宋_GB2312" w:eastAsia="仿宋_GB2312"/>
                      <w:sz w:val="21"/>
                    </w:rPr>
                    <w:t>、S曲线侧腰围，不勒肚肚，减少摩擦；</w:t>
                  </w:r>
                </w:p>
                <w:p>
                  <w:pPr>
                    <w:pStyle w:val="null3"/>
                  </w:pPr>
                  <w:r>
                    <w:rPr>
                      <w:rFonts w:ascii="仿宋_GB2312" w:hAnsi="仿宋_GB2312" w:cs="仿宋_GB2312" w:eastAsia="仿宋_GB2312"/>
                      <w:sz w:val="21"/>
                    </w:rPr>
                    <w:t>3</w:t>
                  </w:r>
                  <w:r>
                    <w:rPr>
                      <w:rFonts w:ascii="仿宋_GB2312" w:hAnsi="仿宋_GB2312" w:cs="仿宋_GB2312" w:eastAsia="仿宋_GB2312"/>
                      <w:sz w:val="21"/>
                    </w:rPr>
                    <w:t>、全弹力腰围，360°贴身呵护；</w:t>
                  </w:r>
                </w:p>
                <w:p>
                  <w:pPr>
                    <w:pStyle w:val="null3"/>
                  </w:pPr>
                  <w:r>
                    <w:rPr>
                      <w:rFonts w:ascii="仿宋_GB2312" w:hAnsi="仿宋_GB2312" w:cs="仿宋_GB2312" w:eastAsia="仿宋_GB2312"/>
                      <w:sz w:val="21"/>
                    </w:rPr>
                    <w:t>4</w:t>
                  </w:r>
                  <w:r>
                    <w:rPr>
                      <w:rFonts w:ascii="仿宋_GB2312" w:hAnsi="仿宋_GB2312" w:cs="仿宋_GB2312" w:eastAsia="仿宋_GB2312"/>
                      <w:sz w:val="21"/>
                    </w:rPr>
                    <w:t>、清新透气微孔，排走湿气，不闷屁屁；</w:t>
                  </w:r>
                </w:p>
                <w:p>
                  <w:pPr>
                    <w:pStyle w:val="null3"/>
                  </w:pPr>
                  <w:r>
                    <w:rPr>
                      <w:rFonts w:ascii="仿宋_GB2312" w:hAnsi="仿宋_GB2312" w:cs="仿宋_GB2312" w:eastAsia="仿宋_GB2312"/>
                      <w:sz w:val="21"/>
                    </w:rPr>
                    <w:t>5</w:t>
                  </w:r>
                  <w:r>
                    <w:rPr>
                      <w:rFonts w:ascii="仿宋_GB2312" w:hAnsi="仿宋_GB2312" w:cs="仿宋_GB2312" w:eastAsia="仿宋_GB2312"/>
                      <w:sz w:val="21"/>
                    </w:rPr>
                    <w:t>、双层吸收体，不为侧漏、背漏烦恼。</w:t>
                  </w:r>
                </w:p>
              </w:tc>
              <w:tc>
                <w:tcPr>
                  <w:tcW w:type="dxa" w:w="0"/>
                  <w:tcBorders>
                    <w:top w:val="none" w:color="000000" w:sz="4"/>
                    <w:left w:val="none" w:color="000000" w:sz="4"/>
                    <w:bottom w:val="none" w:color="000000" w:sz="4"/>
                    <w:right w:val="none" w:color="000000" w:sz="4"/>
                  </w:tcBorders>
                </w:tcPr>
                <w:p>
                  <w:pPr>
                    <w:pStyle w:val="null3"/>
                    <w:jc w:val="both"/>
                  </w:pPr>
                  <w:r>
                    <w:rPr>
                      <w:rFonts w:ascii="仿宋_GB2312" w:hAnsi="仿宋_GB2312" w:cs="仿宋_GB2312" w:eastAsia="仿宋_GB2312"/>
                      <w:sz w:val="21"/>
                    </w:rPr>
                    <w:t xml:space="preserve"> </w:t>
                  </w:r>
                </w:p>
              </w:tc>
            </w:tr>
            <w:tr>
              <w:tc>
                <w:tcPr>
                  <w:tcW w:type="dxa" w:w="97"/>
                  <w:tcBorders>
                    <w:top w:val="none" w:color="000000" w:sz="4"/>
                    <w:left w:val="singl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6</w:t>
                  </w:r>
                </w:p>
              </w:tc>
              <w:tc>
                <w:tcPr>
                  <w:tcW w:type="dxa" w:w="189"/>
                  <w:vMerge/>
                  <w:tcBorders>
                    <w:top w:val="none" w:color="000000" w:sz="4"/>
                    <w:left w:val="none" w:color="000000" w:sz="4"/>
                    <w:bottom w:val="single" w:color="000000" w:sz="4"/>
                    <w:right w:val="single" w:color="000000" w:sz="4"/>
                  </w:tcBorders>
                </w:tcPr>
                <w:p/>
              </w:tc>
              <w:tc>
                <w:tcPr>
                  <w:tcW w:type="dxa" w:w="140"/>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XL</w:t>
                  </w:r>
                </w:p>
              </w:tc>
              <w:tc>
                <w:tcPr>
                  <w:tcW w:type="dxa" w:w="323"/>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3.30</w:t>
                  </w:r>
                </w:p>
              </w:tc>
              <w:tc>
                <w:tcPr>
                  <w:tcW w:type="dxa" w:w="177"/>
                  <w:vMerge/>
                  <w:tcBorders>
                    <w:top w:val="none" w:color="000000" w:sz="4"/>
                    <w:left w:val="none" w:color="000000" w:sz="4"/>
                    <w:bottom w:val="single" w:color="000000" w:sz="4"/>
                    <w:right w:val="single" w:color="000000" w:sz="4"/>
                  </w:tcBorders>
                </w:tcPr>
                <w:p/>
              </w:tc>
              <w:tc>
                <w:tcPr>
                  <w:tcW w:type="dxa" w:w="969"/>
                  <w:vMerge/>
                  <w:tcBorders>
                    <w:top w:val="none" w:color="000000" w:sz="4"/>
                    <w:left w:val="non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both"/>
                  </w:pPr>
                  <w:r>
                    <w:rPr>
                      <w:rFonts w:ascii="仿宋_GB2312" w:hAnsi="仿宋_GB2312" w:cs="仿宋_GB2312" w:eastAsia="仿宋_GB2312"/>
                      <w:sz w:val="21"/>
                    </w:rPr>
                    <w:t xml:space="preserve"> </w:t>
                  </w:r>
                </w:p>
              </w:tc>
            </w:tr>
            <w:tr>
              <w:tc>
                <w:tcPr>
                  <w:tcW w:type="dxa" w:w="97"/>
                  <w:vMerge w:val="restart"/>
                  <w:tcBorders>
                    <w:top w:val="none" w:color="000000" w:sz="4"/>
                    <w:left w:val="singl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7</w:t>
                  </w:r>
                </w:p>
              </w:tc>
              <w:tc>
                <w:tcPr>
                  <w:tcW w:type="dxa" w:w="189"/>
                  <w:vMerge/>
                  <w:tcBorders>
                    <w:top w:val="none" w:color="000000" w:sz="4"/>
                    <w:left w:val="none" w:color="000000" w:sz="4"/>
                    <w:bottom w:val="single" w:color="000000" w:sz="4"/>
                    <w:right w:val="single" w:color="000000" w:sz="4"/>
                  </w:tcBorders>
                </w:tcPr>
                <w:p/>
              </w:tc>
              <w:tc>
                <w:tcPr>
                  <w:tcW w:type="dxa" w:w="140"/>
                  <w:vMerge w:val="restart"/>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XXL</w:t>
                  </w:r>
                </w:p>
              </w:tc>
              <w:tc>
                <w:tcPr>
                  <w:tcW w:type="dxa" w:w="323"/>
                  <w:vMerge w:val="restart"/>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3.65</w:t>
                  </w:r>
                </w:p>
              </w:tc>
              <w:tc>
                <w:tcPr>
                  <w:tcW w:type="dxa" w:w="177"/>
                  <w:vMerge/>
                  <w:tcBorders>
                    <w:top w:val="none" w:color="000000" w:sz="4"/>
                    <w:left w:val="none" w:color="000000" w:sz="4"/>
                    <w:bottom w:val="single" w:color="000000" w:sz="4"/>
                    <w:right w:val="single" w:color="000000" w:sz="4"/>
                  </w:tcBorders>
                </w:tcPr>
                <w:p/>
              </w:tc>
              <w:tc>
                <w:tcPr>
                  <w:tcW w:type="dxa" w:w="969"/>
                  <w:vMerge/>
                  <w:tcBorders>
                    <w:top w:val="none" w:color="000000" w:sz="4"/>
                    <w:left w:val="none" w:color="000000" w:sz="4"/>
                    <w:bottom w:val="single" w:color="000000" w:sz="4"/>
                    <w:right w:val="single" w:color="000000" w:sz="4"/>
                  </w:tcBorders>
                </w:tcPr>
                <w:p/>
              </w:tc>
              <w:tc>
                <w:tcPr>
                  <w:tcW w:type="dxa" w:w="658"/>
                  <w:vMerge w:val="restart"/>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pPr>
                  <w:r>
                    <w:rPr>
                      <w:rFonts w:ascii="仿宋_GB2312" w:hAnsi="仿宋_GB2312" w:cs="仿宋_GB2312" w:eastAsia="仿宋_GB2312"/>
                      <w:sz w:val="21"/>
                    </w:rPr>
                    <w:t>1</w:t>
                  </w:r>
                  <w:r>
                    <w:rPr>
                      <w:rFonts w:ascii="仿宋_GB2312" w:hAnsi="仿宋_GB2312" w:cs="仿宋_GB2312" w:eastAsia="仿宋_GB2312"/>
                      <w:sz w:val="21"/>
                    </w:rPr>
                    <w:t>、3D立体防漏护围，一吸不漏，360°的弹力贴身呵护；</w:t>
                  </w:r>
                </w:p>
                <w:p>
                  <w:pPr>
                    <w:pStyle w:val="null3"/>
                  </w:pPr>
                  <w:r>
                    <w:rPr>
                      <w:rFonts w:ascii="仿宋_GB2312" w:hAnsi="仿宋_GB2312" w:cs="仿宋_GB2312" w:eastAsia="仿宋_GB2312"/>
                      <w:sz w:val="21"/>
                    </w:rPr>
                    <w:t>2</w:t>
                  </w:r>
                  <w:r>
                    <w:rPr>
                      <w:rFonts w:ascii="仿宋_GB2312" w:hAnsi="仿宋_GB2312" w:cs="仿宋_GB2312" w:eastAsia="仿宋_GB2312"/>
                      <w:sz w:val="21"/>
                    </w:rPr>
                    <w:t>、弹力大环腰伸缩腰围，穿脱方便；</w:t>
                  </w:r>
                </w:p>
                <w:p>
                  <w:pPr>
                    <w:pStyle w:val="null3"/>
                  </w:pPr>
                  <w:r>
                    <w:rPr>
                      <w:rFonts w:ascii="仿宋_GB2312" w:hAnsi="仿宋_GB2312" w:cs="仿宋_GB2312" w:eastAsia="仿宋_GB2312"/>
                      <w:sz w:val="21"/>
                    </w:rPr>
                    <w:t>3</w:t>
                  </w:r>
                  <w:r>
                    <w:rPr>
                      <w:rFonts w:ascii="仿宋_GB2312" w:hAnsi="仿宋_GB2312" w:cs="仿宋_GB2312" w:eastAsia="仿宋_GB2312"/>
                      <w:sz w:val="21"/>
                    </w:rPr>
                    <w:t>、棉柔透气干爽表层，柔软舒适更亲肤；</w:t>
                  </w:r>
                </w:p>
                <w:p>
                  <w:pPr>
                    <w:pStyle w:val="null3"/>
                  </w:pPr>
                  <w:r>
                    <w:rPr>
                      <w:rFonts w:ascii="仿宋_GB2312" w:hAnsi="仿宋_GB2312" w:cs="仿宋_GB2312" w:eastAsia="仿宋_GB2312"/>
                      <w:sz w:val="21"/>
                    </w:rPr>
                    <w:t>4</w:t>
                  </w:r>
                  <w:r>
                    <w:rPr>
                      <w:rFonts w:ascii="仿宋_GB2312" w:hAnsi="仿宋_GB2312" w:cs="仿宋_GB2312" w:eastAsia="仿宋_GB2312"/>
                      <w:sz w:val="21"/>
                    </w:rPr>
                    <w:t>、原木浆棉芯，双芯体结构，超强吸收，特殊导流。</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97"/>
                  <w:vMerge/>
                  <w:tcBorders>
                    <w:top w:val="none" w:color="000000" w:sz="4"/>
                    <w:left w:val="singl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40"/>
                  <w:vMerge/>
                  <w:tcBorders>
                    <w:top w:val="none" w:color="000000" w:sz="4"/>
                    <w:left w:val="none" w:color="000000" w:sz="4"/>
                    <w:bottom w:val="single" w:color="000000" w:sz="4"/>
                    <w:right w:val="single" w:color="000000" w:sz="4"/>
                  </w:tcBorders>
                </w:tcPr>
                <w:p/>
              </w:tc>
              <w:tc>
                <w:tcPr>
                  <w:tcW w:type="dxa" w:w="323"/>
                  <w:vMerge/>
                  <w:tcBorders>
                    <w:top w:val="none" w:color="000000" w:sz="4"/>
                    <w:left w:val="none" w:color="000000" w:sz="4"/>
                    <w:bottom w:val="single" w:color="000000" w:sz="4"/>
                    <w:right w:val="single" w:color="000000" w:sz="4"/>
                  </w:tcBorders>
                </w:tcPr>
                <w:p/>
              </w:tc>
              <w:tc>
                <w:tcPr>
                  <w:tcW w:type="dxa" w:w="177"/>
                  <w:vMerge/>
                  <w:tcBorders>
                    <w:top w:val="none" w:color="000000" w:sz="4"/>
                    <w:left w:val="none" w:color="000000" w:sz="4"/>
                    <w:bottom w:val="single" w:color="000000" w:sz="4"/>
                    <w:right w:val="single" w:color="000000" w:sz="4"/>
                  </w:tcBorders>
                </w:tcPr>
                <w:p/>
              </w:tc>
              <w:tc>
                <w:tcPr>
                  <w:tcW w:type="dxa" w:w="969"/>
                  <w:vMerge/>
                  <w:tcBorders>
                    <w:top w:val="none" w:color="000000" w:sz="4"/>
                    <w:left w:val="non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r>
              <w:tc>
                <w:tcPr>
                  <w:tcW w:type="dxa" w:w="97"/>
                  <w:tcBorders>
                    <w:top w:val="none" w:color="000000" w:sz="4"/>
                    <w:left w:val="singl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8</w:t>
                  </w:r>
                </w:p>
              </w:tc>
              <w:tc>
                <w:tcPr>
                  <w:tcW w:type="dxa" w:w="189"/>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成人长效干爽纸尿裤</w:t>
                  </w:r>
                </w:p>
              </w:tc>
              <w:tc>
                <w:tcPr>
                  <w:tcW w:type="dxa" w:w="140"/>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M</w:t>
                  </w:r>
                </w:p>
              </w:tc>
              <w:tc>
                <w:tcPr>
                  <w:tcW w:type="dxa" w:w="323"/>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3.80</w:t>
                  </w:r>
                </w:p>
              </w:tc>
              <w:tc>
                <w:tcPr>
                  <w:tcW w:type="dxa" w:w="177"/>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center"/>
                  </w:pPr>
                  <w:r>
                    <w:rPr>
                      <w:rFonts w:ascii="仿宋_GB2312" w:hAnsi="仿宋_GB2312" w:cs="仿宋_GB2312" w:eastAsia="仿宋_GB2312"/>
                      <w:sz w:val="21"/>
                    </w:rPr>
                    <w:t>片</w:t>
                  </w:r>
                </w:p>
              </w:tc>
              <w:tc>
                <w:tcPr>
                  <w:tcW w:type="dxa" w:w="969"/>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、PH值：4.0-8.0；</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、交货水分：≤10.0%；</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、细菌菌落总数≤200cfu/g；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rPr>
                    <w:t>渗透性能：回渗量≤10.0g，渗漏量≤0.5g；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b/>
                    </w:rPr>
                    <w:t>5</w:t>
                  </w:r>
                  <w:r>
                    <w:rPr>
                      <w:rFonts w:ascii="仿宋_GB2312" w:hAnsi="仿宋_GB2312" w:cs="仿宋_GB2312" w:eastAsia="仿宋_GB2312"/>
                      <w:sz w:val="21"/>
                      <w:b/>
                    </w:rPr>
                    <w:t>、</w:t>
                  </w:r>
                  <w:r>
                    <w:rPr>
                      <w:rFonts w:ascii="仿宋_GB2312" w:hAnsi="仿宋_GB2312" w:cs="仿宋_GB2312" w:eastAsia="仿宋_GB2312"/>
                      <w:sz w:val="21"/>
                    </w:rPr>
                    <w:t>真菌菌落总数≤100cfu/g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b/>
                    </w:rPr>
                    <w:t>6</w:t>
                  </w:r>
                  <w:r>
                    <w:rPr>
                      <w:rFonts w:ascii="仿宋_GB2312" w:hAnsi="仿宋_GB2312" w:cs="仿宋_GB2312" w:eastAsia="仿宋_GB2312"/>
                      <w:sz w:val="21"/>
                      <w:b/>
                    </w:rPr>
                    <w:t>、</w:t>
                  </w:r>
                  <w:r>
                    <w:rPr>
                      <w:rFonts w:ascii="仿宋_GB2312" w:hAnsi="仿宋_GB2312" w:cs="仿宋_GB2312" w:eastAsia="仿宋_GB2312"/>
                      <w:sz w:val="21"/>
                    </w:rPr>
                    <w:t>且不得检出大肠杆菌、绿脓杆菌、金黄色葡萄球菌、溶血性链球菌；</w:t>
                  </w:r>
                  <w:r>
                    <w:br/>
                  </w:r>
                  <w:r>
                    <w:rPr>
                      <w:rFonts w:ascii="仿宋_GB2312" w:hAnsi="仿宋_GB2312" w:cs="仿宋_GB2312" w:eastAsia="仿宋_GB2312"/>
                      <w:sz w:val="21"/>
                    </w:rPr>
                    <w:t>以上参数须提供每个规格的检测报告。</w:t>
                  </w:r>
                </w:p>
              </w:tc>
              <w:tc>
                <w:tcPr>
                  <w:tcW w:type="dxa" w:w="658"/>
                  <w:tcBorders>
                    <w:top w:val="none" w:color="000000" w:sz="4"/>
                    <w:left w:val="none" w:color="000000" w:sz="4"/>
                    <w:bottom w:val="single" w:color="000000" w:sz="4"/>
                    <w:right w:val="single" w:color="000000" w:sz="4"/>
                  </w:tcBorders>
                  <w:tcMar>
                    <w:top w:type="dxa" w:w="30"/>
                    <w:left w:type="dxa" w:w="30"/>
                    <w:bottom w:type="dxa" w:w="0"/>
                    <w:right w:type="dxa" w:w="30"/>
                  </w:tcMar>
                </w:tcPr>
                <w:p>
                  <w:pPr>
                    <w:pStyle w:val="null3"/>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rPr>
                    <w:t>尾部弹性腰围，防止背漏；</w:t>
                  </w:r>
                </w:p>
                <w:p>
                  <w:pPr>
                    <w:pStyle w:val="null3"/>
                  </w:pPr>
                  <w:r>
                    <w:rPr>
                      <w:rFonts w:ascii="仿宋_GB2312" w:hAnsi="仿宋_GB2312" w:cs="仿宋_GB2312" w:eastAsia="仿宋_GB2312"/>
                      <w:sz w:val="21"/>
                    </w:rPr>
                    <w:t>2</w:t>
                  </w:r>
                  <w:r>
                    <w:rPr>
                      <w:rFonts w:ascii="仿宋_GB2312" w:hAnsi="仿宋_GB2312" w:cs="仿宋_GB2312" w:eastAsia="仿宋_GB2312"/>
                      <w:sz w:val="21"/>
                    </w:rPr>
                    <w:t>、高分子吸收体，迅速锁水，超强吸水；</w:t>
                  </w:r>
                </w:p>
                <w:p>
                  <w:pPr>
                    <w:pStyle w:val="null3"/>
                  </w:pPr>
                  <w:r>
                    <w:rPr>
                      <w:rFonts w:ascii="仿宋_GB2312" w:hAnsi="仿宋_GB2312" w:cs="仿宋_GB2312" w:eastAsia="仿宋_GB2312"/>
                      <w:sz w:val="21"/>
                    </w:rPr>
                    <w:t>3</w:t>
                  </w:r>
                  <w:r>
                    <w:rPr>
                      <w:rFonts w:ascii="仿宋_GB2312" w:hAnsi="仿宋_GB2312" w:cs="仿宋_GB2312" w:eastAsia="仿宋_GB2312"/>
                      <w:sz w:val="21"/>
                    </w:rPr>
                    <w:t>、采用环保可降解材料，棉柔透气复合底膜，舒适透气；</w:t>
                  </w:r>
                </w:p>
                <w:p>
                  <w:pPr>
                    <w:pStyle w:val="null3"/>
                  </w:pPr>
                  <w:r>
                    <w:rPr>
                      <w:rFonts w:ascii="仿宋_GB2312" w:hAnsi="仿宋_GB2312" w:cs="仿宋_GB2312" w:eastAsia="仿宋_GB2312"/>
                      <w:sz w:val="21"/>
                    </w:rPr>
                    <w:t>4</w:t>
                  </w:r>
                  <w:r>
                    <w:rPr>
                      <w:rFonts w:ascii="仿宋_GB2312" w:hAnsi="仿宋_GB2312" w:cs="仿宋_GB2312" w:eastAsia="仿宋_GB2312"/>
                      <w:sz w:val="21"/>
                    </w:rPr>
                    <w:t xml:space="preserve">、环抱式腰围及腰贴，外加左右魔术扣，自由调节定位；     </w:t>
                  </w:r>
                  <w:r>
                    <w:br/>
                  </w:r>
                  <w:r>
                    <w:rPr>
                      <w:rFonts w:ascii="仿宋_GB2312" w:hAnsi="仿宋_GB2312" w:cs="仿宋_GB2312" w:eastAsia="仿宋_GB2312"/>
                    </w:rPr>
                    <w:t xml:space="preserve">  </w:t>
                  </w:r>
                </w:p>
              </w:tc>
              <w:tc>
                <w:tcPr>
                  <w:tcW w:type="dxa" w:w="0"/>
                  <w:tcBorders>
                    <w:top w:val="none" w:color="000000" w:sz="4"/>
                    <w:left w:val="none" w:color="000000" w:sz="4"/>
                    <w:bottom w:val="none" w:color="000000" w:sz="4"/>
                    <w:right w:val="none" w:color="000000" w:sz="4"/>
                  </w:tcBorders>
                </w:tcPr>
                <w:p>
                  <w:pPr>
                    <w:pStyle w:val="null3"/>
                    <w:jc w:val="both"/>
                  </w:pPr>
                  <w:r>
                    <w:rPr>
                      <w:rFonts w:ascii="仿宋_GB2312" w:hAnsi="仿宋_GB2312" w:cs="仿宋_GB2312" w:eastAsia="仿宋_GB2312"/>
                      <w:sz w:val="21"/>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合同签订之日起至2025年12月31日。接到采购人通知7天内交付完毕。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接到采购人订单后，中标人将货物运到采购人指定地点。据实验收合格后，供应商凭本批次送货清单、验收单、合同、中标通知书及发票原件办理结算手续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在现场验货，同时向最终用户提供产品原产地证明和出厂质量检验合格证书。</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产品质保期为三年, 交货时货物使用期不少于2年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由于卖方原因造成交货延误的，每延误一周，罚款为合同总价的0.5%，罚款最多不超过合同总价的5%。若延迟交货晚于合同规定时间5周以上，买方有权取消合同。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1.本项目为单价招标，投标人需对每一个系列不同尺码单片纸尿裤进行单价报价，且单价报价不得超过单价限价。 2.支付约定:合同签订后10个工作日内支付合同总额的30%预付款，接到采购人订单后，中标人将货物运到采购人指定地点。据实验收合格后，供应商凭本批次送货清单、验收单、合同、中标通知书及发票原件办理结算手续。 3.本项目落实政府采购政策：（1）《关于在政府采购活动中查询及使用信用记录有关问题的通知》（财库〔2016〕125号）。（2）《政府采购促进中小企业发展管理办法》（财库〔2020〕46号）、《关于进一步加大政府采购支持中小企业力度的通知》（财库〔2022〕19号）、《陕西省财政厅关于进一步加大政府采购支持中小企业力度的通知》（陕财办采〔2022〕5号）、《关于政府采购支持监狱企业发展有关问题的通知》（财库〔2014〕68号）以及《关于促进残疾人就业政府采购政策的通知》（财库〔2017〕141号）。（3）《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4）《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5）《陕西省财政厅关于加快推进我省中小企业政府采购信用融资工作的通知》（陕财办采〔2020〕15号）、陕西省财政厅关于印发《陕西省中小企业政府采购信用融资办法》（陕财办采〔2018〕23号）。（6）其他需要落实的政府采购政策（如有最新颁布的政府采购政策，按最新的文件执行）。 4.本项目核心产品：超强吸收干爽婴儿纸尿裤。 5.样品：开标当日9时30分前用小型纸箱密封样品提交至西安市和平路108号佳腾大厦7楼陕西省招标有限责任公司开标室，未密封提交样品不予接受。密封样品标注单位名称。（相关检测报告在响应文件中体现）；中标单位提供的样品交采购人留存，并作为采购单位履约验收的参考依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投标人提供2023年度或2024年度经审计的财务报告或投标截止日前三个月内开户银行出具的资信证明文件或财政部门认可的政府采购专业担保机构开具的投标担保函。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依法缴纳税收的良好记录（提供投标截止时间前六个月内任意一个月份依法纳税证明或无欠税证明）依法免税的投标人应提供相关资料证明。 ）</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依法缴纳社会保障资金的良好记录（提供投标截止时间前六个月内任意一个月份的缴费证明资料）依法不需要缴纳社会保障资金的投标人应提供相关资料证明。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提供具有履行合同所必须的设备和专业技术能力 （提供承诺函）。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投标人不得为“信用中国”网站中列入失信被执行人、重大税收违法失信主体的投标单位、不得为中国政府采购网政府采购严重违法失信行为记录名单中被财政部门禁止参加政府采购活动的投标单位。（提供网站截图或以代理机构开标当天查询结果为准）</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产品单价报价表.docx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本项目为单价招标，投标人需对每一个系列不同尺码单片纸尿裤进行单价报价，且单价报价不得超过单价限价。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投标文件的签署、盖章合格、有效。</w:t>
            </w:r>
          </w:p>
        </w:tc>
        <w:tc>
          <w:tcPr>
            <w:tcW w:type="dxa" w:w="1661"/>
          </w:tcPr>
          <w:p>
            <w:pPr>
              <w:pStyle w:val="null3"/>
            </w:pPr>
            <w:r>
              <w:rPr>
                <w:rFonts w:ascii="仿宋_GB2312" w:hAnsi="仿宋_GB2312" w:cs="仿宋_GB2312" w:eastAsia="仿宋_GB2312"/>
              </w:rPr>
              <w:t>投标方案.docx 开标一览表 中小企业声明函 商务应答表 承诺书.docx 投标人近年完成的类似项目情况表.docx 产品单价报价表.docx 其他补充事项.docx 产品技术参数表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产品单价报价表.docx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产品单价报价表.docx 投标方案.docx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产品单价报价表.docx 投标方案.docx 投标函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开标一览表 投标方案.docx 中小企业声明函 商务应答表 承诺书.docx 投标人近年完成的类似项目情况表.docx 产品单价报价表.docx 其他补充事项.docx 产品技术参数表 投标人应提交的相关资格证明材料.docx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投标产品技术指标响应程度</w:t>
            </w:r>
          </w:p>
        </w:tc>
        <w:tc>
          <w:tcPr>
            <w:tcW w:type="dxa" w:w="2492"/>
          </w:tcPr>
          <w:p>
            <w:pPr>
              <w:pStyle w:val="null3"/>
            </w:pPr>
            <w:r>
              <w:rPr>
                <w:rFonts w:ascii="仿宋_GB2312" w:hAnsi="仿宋_GB2312" w:cs="仿宋_GB2312" w:eastAsia="仿宋_GB2312"/>
              </w:rPr>
              <w:t>供应商所投产品完全满足采购文件产品技术参数的得13.5分，非▲项不满足一项扣0.5分，▲ 项参数如有1项不满足，扣1分。（提供相关证明材料）</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产品规格资料</w:t>
            </w:r>
          </w:p>
        </w:tc>
        <w:tc>
          <w:tcPr>
            <w:tcW w:type="dxa" w:w="2492"/>
          </w:tcPr>
          <w:p>
            <w:pPr>
              <w:pStyle w:val="null3"/>
            </w:pPr>
            <w:r>
              <w:rPr>
                <w:rFonts w:ascii="仿宋_GB2312" w:hAnsi="仿宋_GB2312" w:cs="仿宋_GB2312" w:eastAsia="仿宋_GB2312"/>
              </w:rPr>
              <w:t>根据所投货物技术规格、产品资料、产品检测报告、且符合相关标准等进行综合评审。 1. 技术规格清楚、明确，产品资料详尽、齐全，提供产品检测报告，且符合国际、国内相关标准得5分； 2. 技术规格较清楚、较明确，产品资料较详尽、较齐全，提供产品检测报告，且符合国际、国内相关标准得4分； 3. 技术规格较清楚、较明确，产品资料较详尽、较齐全，未提供产品检测报告，且不符合国际、国内相关标准得3分； 4. 技术规格不清楚、不明确，产品资料不详尽、不齐全，未提供产品检测报告，且不符合国际、国内相关标准得2分；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供货进度计划</w:t>
            </w:r>
          </w:p>
        </w:tc>
        <w:tc>
          <w:tcPr>
            <w:tcW w:type="dxa" w:w="2492"/>
          </w:tcPr>
          <w:p>
            <w:pPr>
              <w:pStyle w:val="null3"/>
            </w:pPr>
            <w:r>
              <w:rPr>
                <w:rFonts w:ascii="仿宋_GB2312" w:hAnsi="仿宋_GB2312" w:cs="仿宋_GB2312" w:eastAsia="仿宋_GB2312"/>
              </w:rPr>
              <w:t>根据投标人供货进度计划（包括时间安排等其他内容）等进行综合评审。 1、投标人供货进度计划（包括时间安排等其他内容）的可行性、合理性强得5分； 2.投标人供货进度计划（包括时间安排等其他内容）的可行性、合理性较强的得4分； 3.投标人供货进度计划（包括时间安排等其他内容）的可行性、合理性一般的得3分； 4.投标人供货进度计划（包括时间安排等其他内容）的无可行性、安排不合理的得2分；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根据投标人验收方案等进行综合评审。 1、投标人验收方案的可行性、合理性强得5分； 2.投标人验收方案的可行性、合理性较强的得4分； 3.投标人验收方案的可行性、合理性一般的得3分； 4.投标人验收方案的无可行性、安排不合理的得2分；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根据投标人运输方案（包括人员安排等）等进行综合评审。 1、投标人运输方案（包括人员安排等）的可行性、合理性强得5分； 2.投标人运输方案（包括人员安排等）的可行性、合理性较强的得4分； 3.投标人运输方案（包括人员安排等）的可行性、合理性一般的得3分； 4.投标人运输方案（包括人员安排等）的无可行性、安排不合理的得2分；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根据投标人提供的质量保障措施方案（包括但不限于明确质量目标、制订质量保证工作计划、建立专职的质量管理机构等）等进行综合评审。 1、方案合理、可行性强，满足项目需求得 5分； 2、方案较合理、可行性较强，基本满足项目需求得4分； 3、方案内容一般、可行性一般得3分； 4、方案内容欠缺、无可行性，不能满足项目需求得2分；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应对突发状况的应急保障措施</w:t>
            </w:r>
          </w:p>
        </w:tc>
        <w:tc>
          <w:tcPr>
            <w:tcW w:type="dxa" w:w="2492"/>
          </w:tcPr>
          <w:p>
            <w:pPr>
              <w:pStyle w:val="null3"/>
            </w:pPr>
            <w:r>
              <w:rPr>
                <w:rFonts w:ascii="仿宋_GB2312" w:hAnsi="仿宋_GB2312" w:cs="仿宋_GB2312" w:eastAsia="仿宋_GB2312"/>
              </w:rPr>
              <w:t>根据投标人提供的应对突发状况的应急保障措施，包括但不限于生产、供货、运输、售后服务等突发状况的应急保障措施等进行综合评审。 1、应急保障措施明确、详实、针对性强、便于实施的得5分； 2、应急保障措施较明确、较详实、针对性较强、较便于实施的得4分； 3、应急保障措施不明确、不详实、针对性较差、不便于实施的得3分 4、应急保障措施内容空洞且缺乏可实施性的得2分。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售后服务保障</w:t>
            </w:r>
          </w:p>
        </w:tc>
        <w:tc>
          <w:tcPr>
            <w:tcW w:type="dxa" w:w="2492"/>
          </w:tcPr>
          <w:p>
            <w:pPr>
              <w:pStyle w:val="null3"/>
            </w:pPr>
            <w:r>
              <w:rPr>
                <w:rFonts w:ascii="仿宋_GB2312" w:hAnsi="仿宋_GB2312" w:cs="仿宋_GB2312" w:eastAsia="仿宋_GB2312"/>
              </w:rPr>
              <w:t>根据投标人提供的售后服务保障，包括所投产品在质保期内及质保期外的售后服务、售后服务人员安排等进行综合评审。 1、售后服务方案详细、完整全面、针对性强，可实施性高得4.5分； 2、售后服务方案内容完整、有一定的针对性，具有可实施性得3.5分； 3、售后服务方案内容基本完整、有一定的针对性，可实施性一般得2.5分； 4、售后服务方案内容不完整、针对性差，可实施性差得1.5分； 未提供售后服务方案不得分。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根据投标人提供的样品进行评审。每个规格提供1份样品，对样品的材质、触感、外观、性能等进行测试综合评审。 1、根据选用材质柔软度、薄厚程度、透气性进行综合评审。 ①选用材质柔软度高、轻薄、透气性强得3分； ②选用材质柔软度较高、较轻薄、透气性较强得2分； ③选用材质柔软度不高、不轻薄、透气性不强得1分； 2、根据腰围弹性性能及魔术贴的硬度，是否摩擦皮肤进行综合评审。 ①腰围弹性性能强、魔术贴的硬度适中，不摩擦皮肤得3分； ②腰围弹性性能较强、魔术贴的硬度较硬，轻微摩擦皮肤得2分； ③腰围弹性性能差、魔术贴的硬度硬，严重摩擦皮肤得1分； 3、根据吸水性及吸收程度进行综合评审。 ①吸水性及吸收能力强得3分； ②吸水性及吸收能力较强得2分； ③吸水性及吸收能力一般得1分； 4、根据吸水后的表面干爽度进行综合评审。 ①吸水后的表面干爽度高得3分； ②吸水后的表面干爽度较高得2分； ③吸水后的表面干爽度一般得1分； 注：供应商须提供投标产品的样品。开标当日用小型纸箱密封提交，未密封提交样品不予接受。密封样品标注单位名称。（相关检测报告在响应文件中体现）；中标单位提供的样品交采购人留存，并作为采购单位履约验收的参考依据。</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投标人2022年1月1日以来完成的类似项目业绩，并提供以下证明材料，否则不得分：中标通知书或有效合同复印件，每提供一项得2分，满分10分。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采用低价优先法计算，即满足招标文件要求且报价最低（单价合计金额）的投标报价为评标基准价，其价格分为满分。报价得分＝（评标基准价/投标报价）×30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产品单价报价表.docx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产品单价报价表.docx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详见附件：产品单价报价表.docx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详见附件：投标人近年完成的类似项目情况表.docx</w:t>
      </w:r>
    </w:p>
    <w:p>
      <w:pPr>
        <w:pStyle w:val="null3"/>
        <w:ind w:firstLine="960"/>
      </w:pPr>
      <w:r>
        <w:rPr>
          <w:rFonts w:ascii="仿宋_GB2312" w:hAnsi="仿宋_GB2312" w:cs="仿宋_GB2312" w:eastAsia="仿宋_GB2312"/>
        </w:rPr>
        <w:t>详见附件：其他补充事项.docx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