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版本号：ZYJY-【2025】CS042220250527001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课程资源采购及制作项目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ZYJY-【2025】CS0422</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课程资源采购及制作项目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ZYJY-【2025】CS0422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课程资源采购及制作项目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西安开放大学课程资源采购及制作项目，具体详见采购文件第三章。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达到限额标准的项目按照《国家发展改革委关于进一步放开建设项目专业服务价格的通知》（发改价格（2015）299号）文件的要求，结合市场实际情况，经甲、乙双方协商一致，以中标金额为基准，标准收取。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人力资源和社会保障厅、市委组织部、市教育局、市总工会的相关培训要求，我校作为省、市级专业技术人员继续教育基地、幼儿园园长任职资格培训基地、乡村振兴培训基地及职工素质能力提升基地等，面向专业技术人员、教师、村干部、企事业单位职工等开展继续教育培训，满足各级各类人员的网络培训需求，提升学员的综合素质能力和专业水平。采购与制作的课程资源主要供我校在省专技平台和西安开放大学的网络培训平台开展网络培训使用。依据各类培训要求，2025年计划采购与制作通识类、专业类课程资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课程资源制作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标的名称：课程资源制作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1"/>
              <w:gridCol w:w="226"/>
              <w:gridCol w:w="2146"/>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参数性质</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序号</w:t>
                  </w:r>
                </w:p>
              </w:tc>
              <w:tc>
                <w:tcPr>
                  <w:tcW w:type="dxa" w:w="2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技术参数与性能指标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1</w:t>
                  </w:r>
                </w:p>
              </w:tc>
              <w:tc>
                <w:tcPr>
                  <w:tcW w:type="dxa" w:w="2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根据陕西省人力资源和社会保障厅、市委组织部、市教育局、市总工会的相关培训要求，我校作为省、市级专业技术人员继续教育基地、幼儿园园长任职资格培训基地、乡村振兴培训基地及职工素质能力提升基地等，面向专业技术人员、教师、村干部、企事业单位职工等开展继续教育培训，满足各级各类人员的网络培训需求，提升学员的综合素质能力和专业水平。采购与制作的课程资源主要供我校在省专技平台和西安开放大学的网络培训平台开展网络培训使用。依据各类培训要求，</w:t>
                  </w:r>
                  <w:r>
                    <w:rPr>
                      <w:rFonts w:ascii="仿宋_GB2312" w:hAnsi="仿宋_GB2312" w:cs="仿宋_GB2312" w:eastAsia="仿宋_GB2312"/>
                      <w:sz w:val="20"/>
                      <w:color w:val="0000FF"/>
                    </w:rPr>
                    <w:t>2025年计划采购与制作通识类、专业类课程资源。</w:t>
                  </w:r>
                </w:p>
                <w:p>
                  <w:pPr>
                    <w:pStyle w:val="null3"/>
                    <w:ind w:firstLine="402"/>
                    <w:jc w:val="both"/>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服务内容</w:t>
                  </w:r>
                </w:p>
                <w:tbl>
                  <w:tblPr>
                    <w:tblInd w:type="dxa" w:w="240"/>
                    <w:tblBorders>
                      <w:top w:val="none" w:color="000000" w:sz="4"/>
                      <w:left w:val="none" w:color="000000" w:sz="4"/>
                      <w:bottom w:val="none" w:color="000000" w:sz="4"/>
                      <w:right w:val="none" w:color="000000" w:sz="4"/>
                      <w:insideH w:val="none"/>
                      <w:insideV w:val="none"/>
                    </w:tblBorders>
                  </w:tblPr>
                  <w:tblGrid>
                    <w:gridCol w:w="254"/>
                    <w:gridCol w:w="1315"/>
                    <w:gridCol w:w="350"/>
                  </w:tblGrid>
                  <w:tr>
                    <w:tc>
                      <w:tcPr>
                        <w:tcW w:type="dxa" w:w="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color w:val="0000FF"/>
                          </w:rPr>
                          <w:t>内容</w:t>
                        </w:r>
                      </w:p>
                    </w:tc>
                    <w:tc>
                      <w:tcPr>
                        <w:tcW w:type="dxa" w:w="13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725"/>
                        </w:pPr>
                        <w:r>
                          <w:rPr>
                            <w:rFonts w:ascii="仿宋_GB2312" w:hAnsi="仿宋_GB2312" w:cs="仿宋_GB2312" w:eastAsia="仿宋_GB2312"/>
                            <w:sz w:val="20"/>
                            <w:color w:val="0000FF"/>
                          </w:rPr>
                          <w:t>课程明细</w:t>
                        </w:r>
                      </w:p>
                    </w:tc>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color w:val="0000FF"/>
                          </w:rPr>
                          <w:t>形式</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0"/>
                            <w:color w:val="0000FF"/>
                          </w:rPr>
                          <w:t>通识类、专业类课程资源</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30"/>
                        </w:pPr>
                        <w:r>
                          <w:rPr>
                            <w:rFonts w:ascii="仿宋_GB2312" w:hAnsi="仿宋_GB2312" w:cs="仿宋_GB2312" w:eastAsia="仿宋_GB2312"/>
                            <w:sz w:val="20"/>
                            <w:color w:val="0000FF"/>
                          </w:rPr>
                          <w:t>1.</w:t>
                        </w:r>
                        <w:r>
                          <w:rPr>
                            <w:rFonts w:ascii="仿宋_GB2312" w:hAnsi="仿宋_GB2312" w:cs="仿宋_GB2312" w:eastAsia="仿宋_GB2312"/>
                            <w:sz w:val="20"/>
                            <w:color w:val="0000FF"/>
                          </w:rPr>
                          <w:t>按照陕西省人社厅</w:t>
                        </w:r>
                        <w:r>
                          <w:rPr>
                            <w:rFonts w:ascii="仿宋_GB2312" w:hAnsi="仿宋_GB2312" w:cs="仿宋_GB2312" w:eastAsia="仿宋_GB2312"/>
                            <w:sz w:val="20"/>
                            <w:color w:val="0000FF"/>
                          </w:rPr>
                          <w:t>2025年专业技术人员继</w:t>
                        </w:r>
                        <w:r>
                          <w:rPr>
                            <w:rFonts w:ascii="仿宋_GB2312" w:hAnsi="仿宋_GB2312" w:cs="仿宋_GB2312" w:eastAsia="仿宋_GB2312"/>
                            <w:sz w:val="20"/>
                            <w:color w:val="0000FF"/>
                          </w:rPr>
                          <w:t>续教育培训文件要求提供课程资源。</w:t>
                        </w:r>
                      </w:p>
                      <w:p>
                        <w:pPr>
                          <w:pStyle w:val="null3"/>
                          <w:spacing w:before="30"/>
                          <w:ind w:right="30"/>
                        </w:pPr>
                        <w:r>
                          <w:rPr>
                            <w:rFonts w:ascii="仿宋_GB2312" w:hAnsi="仿宋_GB2312" w:cs="仿宋_GB2312" w:eastAsia="仿宋_GB2312"/>
                            <w:sz w:val="20"/>
                            <w:color w:val="0000FF"/>
                          </w:rPr>
                          <w:t>2.</w:t>
                        </w:r>
                        <w:r>
                          <w:rPr>
                            <w:rFonts w:ascii="仿宋_GB2312" w:hAnsi="仿宋_GB2312" w:cs="仿宋_GB2312" w:eastAsia="仿宋_GB2312"/>
                            <w:sz w:val="20"/>
                            <w:color w:val="0000FF"/>
                          </w:rPr>
                          <w:t>工程</w:t>
                        </w:r>
                        <w:r>
                          <w:rPr>
                            <w:rFonts w:ascii="仿宋_GB2312" w:hAnsi="仿宋_GB2312" w:cs="仿宋_GB2312" w:eastAsia="仿宋_GB2312"/>
                            <w:sz w:val="20"/>
                            <w:color w:val="0000FF"/>
                          </w:rPr>
                          <w:t>项目施工、建筑管理等课程资源。</w:t>
                        </w:r>
                      </w:p>
                      <w:p>
                        <w:pPr>
                          <w:pStyle w:val="null3"/>
                          <w:spacing w:before="30"/>
                          <w:ind w:right="30"/>
                        </w:pPr>
                        <w:r>
                          <w:rPr>
                            <w:rFonts w:ascii="仿宋_GB2312" w:hAnsi="仿宋_GB2312" w:cs="仿宋_GB2312" w:eastAsia="仿宋_GB2312"/>
                            <w:sz w:val="20"/>
                            <w:color w:val="0000FF"/>
                          </w:rPr>
                          <w:t>3.提升教师教育理念、人文素养、师德师风、信息技术、班级管理等方面提升综合素质的课程资</w:t>
                        </w:r>
                        <w:r>
                          <w:rPr>
                            <w:rFonts w:ascii="仿宋_GB2312" w:hAnsi="仿宋_GB2312" w:cs="仿宋_GB2312" w:eastAsia="仿宋_GB2312"/>
                            <w:sz w:val="20"/>
                            <w:color w:val="0000FF"/>
                          </w:rPr>
                          <w:t>源。</w:t>
                        </w:r>
                        <w:r>
                          <w:rPr>
                            <w:rFonts w:ascii="仿宋_GB2312" w:hAnsi="仿宋_GB2312" w:cs="仿宋_GB2312" w:eastAsia="仿宋_GB2312"/>
                            <w:sz w:val="20"/>
                            <w:color w:val="0000FF"/>
                          </w:rPr>
                          <w:t>4.关于医疗卫生改革、医疗管理、食品</w:t>
                        </w:r>
                        <w:r>
                          <w:rPr>
                            <w:rFonts w:ascii="仿宋_GB2312" w:hAnsi="仿宋_GB2312" w:cs="仿宋_GB2312" w:eastAsia="仿宋_GB2312"/>
                            <w:sz w:val="20"/>
                            <w:color w:val="0000FF"/>
                          </w:rPr>
                          <w:t>安全等方面课程资源。</w:t>
                        </w:r>
                      </w:p>
                      <w:p>
                        <w:pPr>
                          <w:pStyle w:val="null3"/>
                          <w:spacing w:before="30"/>
                          <w:ind w:right="30"/>
                        </w:pPr>
                        <w:r>
                          <w:rPr>
                            <w:rFonts w:ascii="仿宋_GB2312" w:hAnsi="仿宋_GB2312" w:cs="仿宋_GB2312" w:eastAsia="仿宋_GB2312"/>
                            <w:sz w:val="20"/>
                            <w:color w:val="0000FF"/>
                          </w:rPr>
                          <w:t>5.关于经济发展、区</w:t>
                        </w:r>
                        <w:r>
                          <w:rPr>
                            <w:rFonts w:ascii="仿宋_GB2312" w:hAnsi="仿宋_GB2312" w:cs="仿宋_GB2312" w:eastAsia="仿宋_GB2312"/>
                            <w:sz w:val="20"/>
                            <w:color w:val="0000FF"/>
                          </w:rPr>
                          <w:t>域经济、经济学动态等经济类别课程资源。</w:t>
                        </w:r>
                      </w:p>
                      <w:p>
                        <w:pPr>
                          <w:pStyle w:val="null3"/>
                          <w:spacing w:before="45"/>
                        </w:pPr>
                        <w:r>
                          <w:rPr>
                            <w:rFonts w:ascii="仿宋_GB2312" w:hAnsi="仿宋_GB2312" w:cs="仿宋_GB2312" w:eastAsia="仿宋_GB2312"/>
                            <w:sz w:val="20"/>
                            <w:color w:val="0000FF"/>
                          </w:rPr>
                          <w:t>6.</w:t>
                        </w:r>
                        <w:r>
                          <w:rPr>
                            <w:rFonts w:ascii="仿宋_GB2312" w:hAnsi="仿宋_GB2312" w:cs="仿宋_GB2312" w:eastAsia="仿宋_GB2312"/>
                            <w:sz w:val="20"/>
                            <w:color w:val="0000FF"/>
                          </w:rPr>
                          <w:t>关于农业科技、乡村振兴、产业发展等方</w:t>
                        </w:r>
                        <w:r>
                          <w:rPr>
                            <w:rFonts w:ascii="仿宋_GB2312" w:hAnsi="仿宋_GB2312" w:cs="仿宋_GB2312" w:eastAsia="仿宋_GB2312"/>
                            <w:sz w:val="20"/>
                            <w:color w:val="0000FF"/>
                          </w:rPr>
                          <w:t>面课程资源。</w:t>
                        </w:r>
                      </w:p>
                      <w:p>
                        <w:pPr>
                          <w:pStyle w:val="null3"/>
                          <w:spacing w:before="45"/>
                        </w:pPr>
                        <w:r>
                          <w:rPr>
                            <w:rFonts w:ascii="仿宋_GB2312" w:hAnsi="仿宋_GB2312" w:cs="仿宋_GB2312" w:eastAsia="仿宋_GB2312"/>
                            <w:sz w:val="20"/>
                            <w:color w:val="0000FF"/>
                          </w:rPr>
                          <w:t>7.关于思想道德、职业道德、</w:t>
                        </w:r>
                        <w:r>
                          <w:rPr>
                            <w:rFonts w:ascii="仿宋_GB2312" w:hAnsi="仿宋_GB2312" w:cs="仿宋_GB2312" w:eastAsia="仿宋_GB2312"/>
                            <w:sz w:val="20"/>
                            <w:color w:val="0000FF"/>
                          </w:rPr>
                          <w:t>技术技能、健康安全、劳动精神等类别课程</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color w:val="0000FF"/>
                          </w:rPr>
                          <w:t>采购</w:t>
                        </w:r>
                        <w:r>
                          <w:rPr>
                            <w:rFonts w:ascii="仿宋_GB2312" w:hAnsi="仿宋_GB2312" w:cs="仿宋_GB2312" w:eastAsia="仿宋_GB2312"/>
                            <w:sz w:val="20"/>
                            <w:color w:val="0000FF"/>
                          </w:rPr>
                          <w:t>224学时</w:t>
                        </w:r>
                      </w:p>
                    </w:tc>
                  </w:tr>
                </w:tbl>
                <w:p>
                  <w:pPr>
                    <w:pStyle w:val="null3"/>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技术</w:t>
                  </w:r>
                  <w:r>
                    <w:rPr>
                      <w:rFonts w:ascii="仿宋_GB2312" w:hAnsi="仿宋_GB2312" w:cs="仿宋_GB2312" w:eastAsia="仿宋_GB2312"/>
                      <w:sz w:val="20"/>
                      <w:b/>
                      <w:color w:val="0000FF"/>
                    </w:rPr>
                    <w:t>要求</w:t>
                  </w:r>
                </w:p>
                <w:p>
                  <w:pPr>
                    <w:pStyle w:val="null3"/>
                    <w:spacing w:before="60" w:after="60"/>
                    <w:ind w:firstLine="400"/>
                    <w:jc w:val="both"/>
                  </w:pPr>
                  <w:r>
                    <w:rPr>
                      <w:rFonts w:ascii="仿宋_GB2312" w:hAnsi="仿宋_GB2312" w:cs="仿宋_GB2312" w:eastAsia="仿宋_GB2312"/>
                      <w:sz w:val="20"/>
                      <w:color w:val="0000FF"/>
                    </w:rPr>
                    <w:t>(一)前期录制要求</w:t>
                  </w:r>
                </w:p>
                <w:p>
                  <w:pPr>
                    <w:pStyle w:val="null3"/>
                    <w:spacing w:before="60" w:after="60"/>
                    <w:ind w:firstLine="400"/>
                    <w:jc w:val="both"/>
                  </w:pPr>
                  <w:r>
                    <w:rPr>
                      <w:rFonts w:ascii="仿宋_GB2312" w:hAnsi="仿宋_GB2312" w:cs="仿宋_GB2312" w:eastAsia="仿宋_GB2312"/>
                      <w:sz w:val="20"/>
                      <w:color w:val="0000FF"/>
                    </w:rPr>
                    <w:t>1.课程时长</w:t>
                  </w:r>
                </w:p>
                <w:p>
                  <w:pPr>
                    <w:pStyle w:val="null3"/>
                    <w:spacing w:before="60" w:after="60"/>
                    <w:ind w:firstLine="400"/>
                    <w:jc w:val="both"/>
                  </w:pPr>
                  <w:r>
                    <w:rPr>
                      <w:rFonts w:ascii="仿宋_GB2312" w:hAnsi="仿宋_GB2312" w:cs="仿宋_GB2312" w:eastAsia="仿宋_GB2312"/>
                      <w:sz w:val="20"/>
                      <w:color w:val="0000FF"/>
                    </w:rPr>
                    <w:t>根据情况将课程分为若干讲，每讲时长应在</w:t>
                  </w:r>
                  <w:r>
                    <w:rPr>
                      <w:rFonts w:ascii="仿宋_GB2312" w:hAnsi="仿宋_GB2312" w:cs="仿宋_GB2312" w:eastAsia="仿宋_GB2312"/>
                      <w:sz w:val="20"/>
                      <w:color w:val="0000FF"/>
                    </w:rPr>
                    <w:t>60分钟左右。</w:t>
                  </w:r>
                </w:p>
                <w:p>
                  <w:pPr>
                    <w:pStyle w:val="null3"/>
                    <w:spacing w:before="60" w:after="60"/>
                    <w:ind w:firstLine="400"/>
                    <w:jc w:val="both"/>
                  </w:pPr>
                  <w:r>
                    <w:rPr>
                      <w:rFonts w:ascii="仿宋_GB2312" w:hAnsi="仿宋_GB2312" w:cs="仿宋_GB2312" w:eastAsia="仿宋_GB2312"/>
                      <w:sz w:val="20"/>
                      <w:color w:val="0000FF"/>
                    </w:rPr>
                    <w:t>在视频的后期制作中，应编辑删除与教学无关的内容。</w:t>
                  </w:r>
                </w:p>
                <w:p>
                  <w:pPr>
                    <w:pStyle w:val="null3"/>
                    <w:spacing w:before="60" w:after="60"/>
                    <w:ind w:firstLine="400"/>
                    <w:jc w:val="both"/>
                  </w:pPr>
                  <w:r>
                    <w:rPr>
                      <w:rFonts w:ascii="仿宋_GB2312" w:hAnsi="仿宋_GB2312" w:cs="仿宋_GB2312" w:eastAsia="仿宋_GB2312"/>
                      <w:sz w:val="20"/>
                      <w:color w:val="0000FF"/>
                    </w:rPr>
                    <w:t>2.录制场地</w:t>
                  </w:r>
                </w:p>
                <w:p>
                  <w:pPr>
                    <w:pStyle w:val="null3"/>
                    <w:spacing w:before="60" w:after="60"/>
                    <w:ind w:firstLine="400"/>
                    <w:jc w:val="both"/>
                  </w:pPr>
                  <w:r>
                    <w:rPr>
                      <w:rFonts w:ascii="仿宋_GB2312" w:hAnsi="仿宋_GB2312" w:cs="仿宋_GB2312" w:eastAsia="仿宋_GB2312"/>
                      <w:sz w:val="20"/>
                      <w:color w:val="0000FF"/>
                    </w:rPr>
                    <w:t>录制场地应选择演播室。要求录制现场光线充足、环境安静、整洁，避免在镜头中出现有广告嫌疑或与课程无关的标识等内容。</w:t>
                  </w:r>
                </w:p>
                <w:p>
                  <w:pPr>
                    <w:pStyle w:val="null3"/>
                    <w:spacing w:before="60" w:after="60"/>
                    <w:ind w:firstLine="400"/>
                    <w:jc w:val="both"/>
                  </w:pPr>
                  <w:r>
                    <w:rPr>
                      <w:rFonts w:ascii="仿宋_GB2312" w:hAnsi="仿宋_GB2312" w:cs="仿宋_GB2312" w:eastAsia="仿宋_GB2312"/>
                      <w:sz w:val="20"/>
                      <w:color w:val="0000FF"/>
                    </w:rPr>
                    <w:t>3.课程形式</w:t>
                  </w:r>
                </w:p>
                <w:p>
                  <w:pPr>
                    <w:pStyle w:val="null3"/>
                    <w:spacing w:before="60" w:after="60"/>
                    <w:ind w:firstLine="400"/>
                    <w:jc w:val="both"/>
                  </w:pPr>
                  <w:r>
                    <w:rPr>
                      <w:rFonts w:ascii="仿宋_GB2312" w:hAnsi="仿宋_GB2312" w:cs="仿宋_GB2312" w:eastAsia="仿宋_GB2312"/>
                      <w:sz w:val="20"/>
                      <w:color w:val="0000FF"/>
                    </w:rPr>
                    <w:t>成片统一采用单一视频形式。</w:t>
                  </w:r>
                </w:p>
                <w:p>
                  <w:pPr>
                    <w:pStyle w:val="null3"/>
                    <w:spacing w:before="60" w:after="60"/>
                    <w:ind w:firstLine="400"/>
                    <w:jc w:val="both"/>
                  </w:pPr>
                  <w:r>
                    <w:rPr>
                      <w:rFonts w:ascii="仿宋_GB2312" w:hAnsi="仿宋_GB2312" w:cs="仿宋_GB2312" w:eastAsia="仿宋_GB2312"/>
                      <w:sz w:val="20"/>
                      <w:color w:val="0000FF"/>
                    </w:rPr>
                    <w:t>4.录制方式及设备</w:t>
                  </w:r>
                </w:p>
                <w:p>
                  <w:pPr>
                    <w:pStyle w:val="null3"/>
                    <w:spacing w:before="60" w:after="60"/>
                    <w:ind w:firstLine="400"/>
                    <w:jc w:val="both"/>
                  </w:pPr>
                  <w:r>
                    <w:rPr>
                      <w:rFonts w:ascii="仿宋_GB2312" w:hAnsi="仿宋_GB2312" w:cs="仿宋_GB2312" w:eastAsia="仿宋_GB2312"/>
                      <w:sz w:val="20"/>
                      <w:color w:val="0000FF"/>
                    </w:rPr>
                    <w:t>(1)拍摄方式：根据课程内容，采用多机位拍摄(2机位以上，至少包含PPT视频流、教师视频流或者PPT与教师的合成视频流),机位设置应满足完整记录课堂全部教学活动的要求。</w:t>
                  </w:r>
                </w:p>
                <w:p>
                  <w:pPr>
                    <w:pStyle w:val="null3"/>
                    <w:spacing w:before="60" w:after="60"/>
                    <w:ind w:firstLine="400"/>
                    <w:jc w:val="both"/>
                  </w:pPr>
                  <w:r>
                    <w:rPr>
                      <w:rFonts w:ascii="仿宋_GB2312" w:hAnsi="仿宋_GB2312" w:cs="仿宋_GB2312" w:eastAsia="仿宋_GB2312"/>
                      <w:sz w:val="20"/>
                      <w:color w:val="0000FF"/>
                    </w:rPr>
                    <w:t>(2)录像设备：摄像机要求不低于专业级数字设备，推荐使用高清数字设备。</w:t>
                  </w:r>
                </w:p>
                <w:p>
                  <w:pPr>
                    <w:pStyle w:val="null3"/>
                    <w:spacing w:before="60" w:after="60"/>
                    <w:ind w:firstLine="400"/>
                    <w:jc w:val="both"/>
                  </w:pPr>
                  <w:r>
                    <w:rPr>
                      <w:rFonts w:ascii="仿宋_GB2312" w:hAnsi="仿宋_GB2312" w:cs="仿宋_GB2312" w:eastAsia="仿宋_GB2312"/>
                      <w:sz w:val="20"/>
                      <w:color w:val="0000FF"/>
                    </w:rPr>
                    <w:t>(3)录音设备：使用若干个专业级话筒，保证教师和学生发言的录音质量。</w:t>
                  </w:r>
                </w:p>
                <w:p>
                  <w:pPr>
                    <w:pStyle w:val="null3"/>
                    <w:spacing w:before="60" w:after="60"/>
                    <w:ind w:firstLine="400"/>
                    <w:jc w:val="both"/>
                  </w:pPr>
                  <w:r>
                    <w:rPr>
                      <w:rFonts w:ascii="仿宋_GB2312" w:hAnsi="仿宋_GB2312" w:cs="仿宋_GB2312" w:eastAsia="仿宋_GB2312"/>
                      <w:sz w:val="20"/>
                      <w:color w:val="0000FF"/>
                    </w:rPr>
                    <w:t>(4)后期制作设备：使用相应的非线性编辑系统。</w:t>
                  </w:r>
                </w:p>
                <w:p>
                  <w:pPr>
                    <w:pStyle w:val="null3"/>
                    <w:spacing w:before="60" w:after="60"/>
                    <w:ind w:firstLine="400"/>
                    <w:jc w:val="both"/>
                  </w:pPr>
                  <w:r>
                    <w:rPr>
                      <w:rFonts w:ascii="仿宋_GB2312" w:hAnsi="仿宋_GB2312" w:cs="仿宋_GB2312" w:eastAsia="仿宋_GB2312"/>
                      <w:sz w:val="20"/>
                      <w:color w:val="0000FF"/>
                    </w:rPr>
                    <w:t>5.课件的制作及录制</w:t>
                  </w:r>
                </w:p>
                <w:p>
                  <w:pPr>
                    <w:pStyle w:val="null3"/>
                    <w:spacing w:before="60" w:after="60"/>
                    <w:ind w:firstLine="400"/>
                    <w:jc w:val="both"/>
                  </w:pPr>
                  <w:r>
                    <w:rPr>
                      <w:rFonts w:ascii="仿宋_GB2312" w:hAnsi="仿宋_GB2312" w:cs="仿宋_GB2312" w:eastAsia="仿宋_GB2312"/>
                      <w:sz w:val="20"/>
                      <w:color w:val="0000FF"/>
                    </w:rPr>
                    <w:t>主讲教师必须具有副高及以上职称，教学内容无意识形态问题。</w:t>
                  </w:r>
                </w:p>
                <w:p>
                  <w:pPr>
                    <w:pStyle w:val="null3"/>
                    <w:spacing w:before="60" w:after="60"/>
                    <w:ind w:firstLine="400"/>
                    <w:jc w:val="both"/>
                  </w:pPr>
                  <w:r>
                    <w:rPr>
                      <w:rFonts w:ascii="仿宋_GB2312" w:hAnsi="仿宋_GB2312" w:cs="仿宋_GB2312" w:eastAsia="仿宋_GB2312"/>
                      <w:sz w:val="20"/>
                      <w:color w:val="0000FF"/>
                    </w:rPr>
                    <w:t>教师在录制前应对授课过程中使用的多媒体课件</w:t>
                  </w:r>
                  <w:r>
                    <w:rPr>
                      <w:rFonts w:ascii="仿宋_GB2312" w:hAnsi="仿宋_GB2312" w:cs="仿宋_GB2312" w:eastAsia="仿宋_GB2312"/>
                      <w:sz w:val="20"/>
                      <w:color w:val="0000FF"/>
                    </w:rPr>
                    <w:t>(PPT、音视频、动画等)认真检查，确保其文字、格式规范，没有错误，符合拍摄要求。在拍摄时应针对实际情况选择适当的拍摄方式，确保成片中的多媒体演示及板书完整、清晰。课程目录中资源采购的内容及课时可根据采购方实际培训需求调整。</w:t>
                  </w:r>
                </w:p>
                <w:p>
                  <w:pPr>
                    <w:pStyle w:val="null3"/>
                    <w:spacing w:before="60" w:after="60"/>
                    <w:ind w:firstLine="400"/>
                    <w:jc w:val="both"/>
                  </w:pPr>
                  <w:r>
                    <w:rPr>
                      <w:rFonts w:ascii="仿宋_GB2312" w:hAnsi="仿宋_GB2312" w:cs="仿宋_GB2312" w:eastAsia="仿宋_GB2312"/>
                      <w:sz w:val="20"/>
                      <w:color w:val="0000FF"/>
                    </w:rPr>
                    <w:t>(二)后期制作要求</w:t>
                  </w:r>
                </w:p>
                <w:p>
                  <w:pPr>
                    <w:pStyle w:val="null3"/>
                    <w:spacing w:before="60" w:after="60"/>
                    <w:ind w:firstLine="400"/>
                    <w:jc w:val="both"/>
                  </w:pPr>
                  <w:r>
                    <w:rPr>
                      <w:rFonts w:ascii="仿宋_GB2312" w:hAnsi="仿宋_GB2312" w:cs="仿宋_GB2312" w:eastAsia="仿宋_GB2312"/>
                      <w:sz w:val="20"/>
                      <w:color w:val="0000FF"/>
                    </w:rPr>
                    <w:t>1.片头与片尾</w:t>
                  </w:r>
                </w:p>
                <w:p>
                  <w:pPr>
                    <w:pStyle w:val="null3"/>
                    <w:spacing w:before="60" w:after="60"/>
                    <w:ind w:firstLine="400"/>
                    <w:jc w:val="both"/>
                  </w:pPr>
                  <w:r>
                    <w:rPr>
                      <w:rFonts w:ascii="仿宋_GB2312" w:hAnsi="仿宋_GB2312" w:cs="仿宋_GB2312" w:eastAsia="仿宋_GB2312"/>
                      <w:sz w:val="20"/>
                      <w:color w:val="0000FF"/>
                    </w:rPr>
                    <w:t>(1)按照采购方实际需要每门课程前放置陕西省专业技术人员继续教育统一片头，片尾放置“西安开放大学+日期”字样。</w:t>
                  </w:r>
                </w:p>
                <w:p>
                  <w:pPr>
                    <w:pStyle w:val="null3"/>
                    <w:spacing w:before="60" w:after="60"/>
                    <w:ind w:firstLine="400"/>
                    <w:jc w:val="both"/>
                  </w:pPr>
                  <w:r>
                    <w:rPr>
                      <w:rFonts w:ascii="仿宋_GB2312" w:hAnsi="仿宋_GB2312" w:cs="仿宋_GB2312" w:eastAsia="仿宋_GB2312"/>
                      <w:sz w:val="20"/>
                      <w:color w:val="0000FF"/>
                    </w:rPr>
                    <w:t>(2)每讲片头不超过5秒，应包括：课程名称、讲次、主讲教师姓名、专业技术职务、单位等信息。</w:t>
                  </w:r>
                </w:p>
                <w:p>
                  <w:pPr>
                    <w:pStyle w:val="null3"/>
                    <w:spacing w:before="60" w:after="60"/>
                    <w:ind w:firstLine="400"/>
                    <w:jc w:val="both"/>
                  </w:pPr>
                  <w:r>
                    <w:rPr>
                      <w:rFonts w:ascii="仿宋_GB2312" w:hAnsi="仿宋_GB2312" w:cs="仿宋_GB2312" w:eastAsia="仿宋_GB2312"/>
                      <w:sz w:val="20"/>
                      <w:color w:val="0000FF"/>
                    </w:rPr>
                    <w:t>2.技术指标</w:t>
                  </w:r>
                </w:p>
                <w:p>
                  <w:pPr>
                    <w:pStyle w:val="null3"/>
                    <w:spacing w:before="60" w:after="60"/>
                    <w:ind w:firstLine="400"/>
                    <w:jc w:val="both"/>
                  </w:pPr>
                  <w:r>
                    <w:rPr>
                      <w:rFonts w:ascii="仿宋_GB2312" w:hAnsi="仿宋_GB2312" w:cs="仿宋_GB2312" w:eastAsia="仿宋_GB2312"/>
                      <w:sz w:val="20"/>
                      <w:color w:val="0000FF"/>
                    </w:rPr>
                    <w:t>(1)视频信号源</w:t>
                  </w:r>
                </w:p>
                <w:p>
                  <w:pPr>
                    <w:pStyle w:val="null3"/>
                    <w:spacing w:before="60" w:after="60"/>
                    <w:ind w:firstLine="400"/>
                    <w:jc w:val="both"/>
                  </w:pPr>
                  <w:r>
                    <w:rPr>
                      <w:rFonts w:ascii="仿宋_GB2312" w:hAnsi="仿宋_GB2312" w:cs="仿宋_GB2312" w:eastAsia="仿宋_GB2312"/>
                      <w:sz w:val="20"/>
                      <w:color w:val="0000FF"/>
                    </w:rPr>
                    <w:t>①稳定性：全片图像同步性能稳定，无失步现象，同步控制信号必须连续，图像无抖动跳跃，色彩无突变，编辑点处图像稳定。</w:t>
                  </w:r>
                </w:p>
                <w:p>
                  <w:pPr>
                    <w:pStyle w:val="null3"/>
                    <w:spacing w:before="60" w:after="60"/>
                    <w:ind w:firstLine="400"/>
                    <w:jc w:val="both"/>
                  </w:pPr>
                  <w:r>
                    <w:rPr>
                      <w:rFonts w:ascii="仿宋_GB2312" w:hAnsi="仿宋_GB2312" w:cs="仿宋_GB2312" w:eastAsia="仿宋_GB2312"/>
                      <w:sz w:val="20"/>
                      <w:color w:val="0000FF"/>
                    </w:rPr>
                    <w:t>②信噪比：图像信噪比不低于55dB,无明显杂波。</w:t>
                  </w:r>
                </w:p>
                <w:p>
                  <w:pPr>
                    <w:pStyle w:val="null3"/>
                    <w:spacing w:before="60" w:after="60"/>
                    <w:ind w:firstLine="400"/>
                    <w:jc w:val="both"/>
                  </w:pPr>
                  <w:r>
                    <w:rPr>
                      <w:rFonts w:ascii="仿宋_GB2312" w:hAnsi="仿宋_GB2312" w:cs="仿宋_GB2312" w:eastAsia="仿宋_GB2312"/>
                      <w:sz w:val="20"/>
                      <w:color w:val="0000FF"/>
                    </w:rPr>
                    <w:t>③色调：白平衡正确，无明显偏色，多机拍摄的镜头衔接处无明显色差。</w:t>
                  </w:r>
                </w:p>
                <w:p>
                  <w:pPr>
                    <w:pStyle w:val="null3"/>
                    <w:spacing w:before="60" w:after="60"/>
                    <w:ind w:firstLine="400"/>
                    <w:jc w:val="both"/>
                  </w:pPr>
                  <w:r>
                    <w:rPr>
                      <w:rFonts w:ascii="仿宋_GB2312" w:hAnsi="仿宋_GB2312" w:cs="仿宋_GB2312" w:eastAsia="仿宋_GB2312"/>
                      <w:sz w:val="20"/>
                      <w:color w:val="0000FF"/>
                    </w:rPr>
                    <w:t>④视频电平：视频全讯号幅度为1Vp-p,最大不超过1.1Vp-p。</w:t>
                  </w:r>
                </w:p>
                <w:p>
                  <w:pPr>
                    <w:pStyle w:val="null3"/>
                    <w:spacing w:before="60" w:after="60"/>
                    <w:ind w:firstLine="400"/>
                    <w:jc w:val="both"/>
                  </w:pPr>
                  <w:r>
                    <w:rPr>
                      <w:rFonts w:ascii="仿宋_GB2312" w:hAnsi="仿宋_GB2312" w:cs="仿宋_GB2312" w:eastAsia="仿宋_GB2312"/>
                      <w:sz w:val="20"/>
                      <w:color w:val="0000FF"/>
                    </w:rPr>
                    <w:t>其中，消隐电平为</w:t>
                  </w:r>
                  <w:r>
                    <w:rPr>
                      <w:rFonts w:ascii="仿宋_GB2312" w:hAnsi="仿宋_GB2312" w:cs="仿宋_GB2312" w:eastAsia="仿宋_GB2312"/>
                      <w:sz w:val="20"/>
                      <w:color w:val="0000FF"/>
                    </w:rPr>
                    <w:t>0V时，白电平幅度0.7Vp-p,同步信号-0.3V,色同步信号幅度0.3Vp-p(以消隐线上下对称),全片一致。</w:t>
                  </w:r>
                </w:p>
                <w:p>
                  <w:pPr>
                    <w:pStyle w:val="null3"/>
                    <w:spacing w:before="60" w:after="60"/>
                    <w:ind w:firstLine="400"/>
                    <w:jc w:val="both"/>
                  </w:pPr>
                  <w:r>
                    <w:rPr>
                      <w:rFonts w:ascii="仿宋_GB2312" w:hAnsi="仿宋_GB2312" w:cs="仿宋_GB2312" w:eastAsia="仿宋_GB2312"/>
                      <w:sz w:val="20"/>
                      <w:color w:val="0000FF"/>
                    </w:rPr>
                    <w:t>(2)音频信号源</w:t>
                  </w:r>
                </w:p>
                <w:p>
                  <w:pPr>
                    <w:pStyle w:val="null3"/>
                    <w:spacing w:before="60" w:after="60"/>
                    <w:ind w:firstLine="400"/>
                    <w:jc w:val="both"/>
                  </w:pPr>
                  <w:r>
                    <w:rPr>
                      <w:rFonts w:ascii="仿宋_GB2312" w:hAnsi="仿宋_GB2312" w:cs="仿宋_GB2312" w:eastAsia="仿宋_GB2312"/>
                      <w:sz w:val="20"/>
                      <w:color w:val="0000FF"/>
                    </w:rPr>
                    <w:t>①电平指标：-2db—-8db声音应无明显失真、放音过冲、过弱。</w:t>
                  </w:r>
                </w:p>
                <w:p>
                  <w:pPr>
                    <w:pStyle w:val="null3"/>
                    <w:spacing w:before="60" w:after="60"/>
                    <w:ind w:firstLine="400"/>
                    <w:jc w:val="both"/>
                  </w:pPr>
                  <w:r>
                    <w:rPr>
                      <w:rFonts w:ascii="仿宋_GB2312" w:hAnsi="仿宋_GB2312" w:cs="仿宋_GB2312" w:eastAsia="仿宋_GB2312"/>
                      <w:sz w:val="20"/>
                      <w:color w:val="0000FF"/>
                    </w:rPr>
                    <w:t>②音频信噪比不低于48db。</w:t>
                  </w:r>
                </w:p>
                <w:p>
                  <w:pPr>
                    <w:pStyle w:val="null3"/>
                    <w:spacing w:before="60" w:after="60"/>
                    <w:ind w:firstLine="400"/>
                    <w:jc w:val="both"/>
                  </w:pPr>
                  <w:r>
                    <w:rPr>
                      <w:rFonts w:ascii="仿宋_GB2312" w:hAnsi="仿宋_GB2312" w:cs="仿宋_GB2312" w:eastAsia="仿宋_GB2312"/>
                      <w:sz w:val="20"/>
                      <w:color w:val="0000FF"/>
                    </w:rPr>
                    <w:t>③声音和画面要求同步，无交流声或其他杂音等缺陷。</w:t>
                  </w:r>
                </w:p>
                <w:p>
                  <w:pPr>
                    <w:pStyle w:val="null3"/>
                    <w:spacing w:before="60" w:after="60"/>
                    <w:ind w:firstLine="400"/>
                    <w:jc w:val="both"/>
                  </w:pPr>
                  <w:r>
                    <w:rPr>
                      <w:rFonts w:ascii="仿宋_GB2312" w:hAnsi="仿宋_GB2312" w:cs="仿宋_GB2312" w:eastAsia="仿宋_GB2312"/>
                      <w:sz w:val="20"/>
                      <w:color w:val="0000FF"/>
                    </w:rPr>
                    <w:t>④伴音清晰、饱满、圆润，无失真、噪声杂音干扰、音量忽大忽小现象。解说声与现场声无明显比例失调，解说声与背景音乐无明显比例失调。</w:t>
                  </w:r>
                </w:p>
                <w:p>
                  <w:pPr>
                    <w:pStyle w:val="null3"/>
                    <w:spacing w:before="60" w:after="60"/>
                    <w:ind w:firstLine="400"/>
                    <w:jc w:val="both"/>
                  </w:pPr>
                  <w:r>
                    <w:rPr>
                      <w:rFonts w:ascii="仿宋_GB2312" w:hAnsi="仿宋_GB2312" w:cs="仿宋_GB2312" w:eastAsia="仿宋_GB2312"/>
                      <w:sz w:val="20"/>
                      <w:color w:val="0000FF"/>
                    </w:rPr>
                    <w:t>(三)课件资源交付文件</w:t>
                  </w:r>
                </w:p>
                <w:p>
                  <w:pPr>
                    <w:pStyle w:val="null3"/>
                    <w:spacing w:before="60" w:after="60"/>
                    <w:ind w:firstLine="400"/>
                    <w:jc w:val="both"/>
                  </w:pPr>
                  <w:r>
                    <w:rPr>
                      <w:rFonts w:ascii="仿宋_GB2312" w:hAnsi="仿宋_GB2312" w:cs="仿宋_GB2312" w:eastAsia="仿宋_GB2312"/>
                      <w:sz w:val="20"/>
                      <w:color w:val="0000FF"/>
                    </w:rPr>
                    <w:t>1.视频压缩格式及技术参数</w:t>
                  </w:r>
                </w:p>
                <w:p>
                  <w:pPr>
                    <w:pStyle w:val="null3"/>
                    <w:spacing w:before="60" w:after="60"/>
                    <w:ind w:firstLine="400"/>
                    <w:jc w:val="both"/>
                  </w:pPr>
                  <w:r>
                    <w:rPr>
                      <w:rFonts w:ascii="仿宋_GB2312" w:hAnsi="仿宋_GB2312" w:cs="仿宋_GB2312" w:eastAsia="仿宋_GB2312"/>
                      <w:sz w:val="20"/>
                      <w:color w:val="0000FF"/>
                    </w:rPr>
                    <w:t>(1)视频压缩采用H.264编码的MP4格式。</w:t>
                  </w:r>
                </w:p>
                <w:p>
                  <w:pPr>
                    <w:pStyle w:val="null3"/>
                    <w:spacing w:before="60" w:after="60"/>
                    <w:ind w:firstLine="400"/>
                    <w:jc w:val="both"/>
                  </w:pPr>
                  <w:r>
                    <w:rPr>
                      <w:rFonts w:ascii="仿宋_GB2312" w:hAnsi="仿宋_GB2312" w:cs="仿宋_GB2312" w:eastAsia="仿宋_GB2312"/>
                      <w:sz w:val="20"/>
                      <w:color w:val="0000FF"/>
                    </w:rPr>
                    <w:t>(2)视频码流率：动态码流的最高码率不高于1024kbps,最低码率不得低于码率800kbps。</w:t>
                  </w:r>
                </w:p>
                <w:p>
                  <w:pPr>
                    <w:pStyle w:val="null3"/>
                    <w:spacing w:before="60" w:after="60"/>
                    <w:ind w:firstLine="400"/>
                    <w:jc w:val="both"/>
                  </w:pPr>
                  <w:r>
                    <w:rPr>
                      <w:rFonts w:ascii="仿宋_GB2312" w:hAnsi="仿宋_GB2312" w:cs="仿宋_GB2312" w:eastAsia="仿宋_GB2312"/>
                      <w:sz w:val="20"/>
                      <w:color w:val="0000FF"/>
                    </w:rPr>
                    <w:t>(3)视频分辨率</w:t>
                  </w:r>
                </w:p>
                <w:p>
                  <w:pPr>
                    <w:pStyle w:val="null3"/>
                    <w:spacing w:before="60" w:after="60"/>
                    <w:ind w:firstLine="400"/>
                    <w:jc w:val="both"/>
                  </w:pPr>
                  <w:r>
                    <w:rPr>
                      <w:rFonts w:ascii="仿宋_GB2312" w:hAnsi="仿宋_GB2312" w:cs="仿宋_GB2312" w:eastAsia="仿宋_GB2312"/>
                      <w:sz w:val="20"/>
                      <w:color w:val="0000FF"/>
                    </w:rPr>
                    <w:t>前期采用高清</w:t>
                  </w:r>
                  <w:r>
                    <w:rPr>
                      <w:rFonts w:ascii="仿宋_GB2312" w:hAnsi="仿宋_GB2312" w:cs="仿宋_GB2312" w:eastAsia="仿宋_GB2312"/>
                      <w:sz w:val="20"/>
                      <w:color w:val="0000FF"/>
                    </w:rPr>
                    <w:t>16:9拍摄，分辨率不低于1280*720。在同一课程中，各讲的视频分辨率统一。</w:t>
                  </w:r>
                </w:p>
                <w:p>
                  <w:pPr>
                    <w:pStyle w:val="null3"/>
                    <w:spacing w:before="60" w:after="60"/>
                    <w:ind w:firstLine="400"/>
                    <w:jc w:val="both"/>
                  </w:pPr>
                  <w:r>
                    <w:rPr>
                      <w:rFonts w:ascii="仿宋_GB2312" w:hAnsi="仿宋_GB2312" w:cs="仿宋_GB2312" w:eastAsia="仿宋_GB2312"/>
                      <w:sz w:val="20"/>
                      <w:color w:val="0000FF"/>
                    </w:rPr>
                    <w:t>(4)视频画幅宽高比</w:t>
                  </w:r>
                </w:p>
                <w:p>
                  <w:pPr>
                    <w:pStyle w:val="null3"/>
                    <w:spacing w:before="60" w:after="60"/>
                    <w:ind w:firstLine="400"/>
                    <w:jc w:val="both"/>
                  </w:pPr>
                  <w:r>
                    <w:rPr>
                      <w:rFonts w:ascii="仿宋_GB2312" w:hAnsi="仿宋_GB2312" w:cs="仿宋_GB2312" w:eastAsia="仿宋_GB2312"/>
                      <w:sz w:val="20"/>
                      <w:color w:val="0000FF"/>
                    </w:rPr>
                    <w:t>推荐采用</w:t>
                  </w:r>
                  <w:r>
                    <w:rPr>
                      <w:rFonts w:ascii="仿宋_GB2312" w:hAnsi="仿宋_GB2312" w:cs="仿宋_GB2312" w:eastAsia="仿宋_GB2312"/>
                      <w:sz w:val="20"/>
                      <w:color w:val="0000FF"/>
                    </w:rPr>
                    <w:t>16:9。在同一课程中，各讲画幅的宽高比统一。</w:t>
                  </w:r>
                </w:p>
                <w:p>
                  <w:pPr>
                    <w:pStyle w:val="null3"/>
                    <w:spacing w:before="60" w:after="60"/>
                    <w:ind w:firstLine="400"/>
                    <w:jc w:val="both"/>
                  </w:pPr>
                  <w:r>
                    <w:rPr>
                      <w:rFonts w:ascii="仿宋_GB2312" w:hAnsi="仿宋_GB2312" w:cs="仿宋_GB2312" w:eastAsia="仿宋_GB2312"/>
                      <w:sz w:val="20"/>
                      <w:color w:val="0000FF"/>
                    </w:rPr>
                    <w:t>(5)视频帧率为25帧/秒。</w:t>
                  </w:r>
                </w:p>
                <w:p>
                  <w:pPr>
                    <w:pStyle w:val="null3"/>
                    <w:spacing w:before="60" w:after="60"/>
                    <w:ind w:firstLine="400"/>
                    <w:jc w:val="both"/>
                  </w:pPr>
                  <w:r>
                    <w:rPr>
                      <w:rFonts w:ascii="仿宋_GB2312" w:hAnsi="仿宋_GB2312" w:cs="仿宋_GB2312" w:eastAsia="仿宋_GB2312"/>
                      <w:sz w:val="20"/>
                      <w:color w:val="0000FF"/>
                    </w:rPr>
                    <w:t>(6)扫描方式采用逐行扫描。</w:t>
                  </w:r>
                </w:p>
                <w:p>
                  <w:pPr>
                    <w:pStyle w:val="null3"/>
                    <w:spacing w:before="60" w:after="60"/>
                    <w:ind w:firstLine="400"/>
                    <w:jc w:val="both"/>
                  </w:pPr>
                  <w:r>
                    <w:rPr>
                      <w:rFonts w:ascii="仿宋_GB2312" w:hAnsi="仿宋_GB2312" w:cs="仿宋_GB2312" w:eastAsia="仿宋_GB2312"/>
                      <w:sz w:val="20"/>
                      <w:color w:val="0000FF"/>
                    </w:rPr>
                    <w:t>2.音频压缩格式及技术参数</w:t>
                  </w:r>
                </w:p>
                <w:p>
                  <w:pPr>
                    <w:pStyle w:val="null3"/>
                    <w:spacing w:before="60" w:after="60"/>
                    <w:ind w:firstLine="400"/>
                    <w:jc w:val="both"/>
                  </w:pPr>
                  <w:r>
                    <w:rPr>
                      <w:rFonts w:ascii="仿宋_GB2312" w:hAnsi="仿宋_GB2312" w:cs="仿宋_GB2312" w:eastAsia="仿宋_GB2312"/>
                      <w:sz w:val="20"/>
                      <w:color w:val="0000FF"/>
                    </w:rPr>
                    <w:t>音频压缩采用</w:t>
                  </w:r>
                  <w:r>
                    <w:rPr>
                      <w:rFonts w:ascii="仿宋_GB2312" w:hAnsi="仿宋_GB2312" w:cs="仿宋_GB2312" w:eastAsia="仿宋_GB2312"/>
                      <w:sz w:val="20"/>
                      <w:color w:val="0000FF"/>
                    </w:rPr>
                    <w:t>AAC(MPEGPart3)格式，采样率48KHz,音频码流率不高于128kbps(恒定),必须是双声道，必须做混音处理。</w:t>
                  </w:r>
                </w:p>
                <w:p>
                  <w:pPr>
                    <w:pStyle w:val="null3"/>
                    <w:spacing w:before="60" w:after="60"/>
                    <w:ind w:firstLine="400"/>
                    <w:jc w:val="both"/>
                  </w:pPr>
                  <w:r>
                    <w:rPr>
                      <w:rFonts w:ascii="仿宋_GB2312" w:hAnsi="仿宋_GB2312" w:cs="仿宋_GB2312" w:eastAsia="仿宋_GB2312"/>
                      <w:sz w:val="20"/>
                      <w:color w:val="0000FF"/>
                    </w:rPr>
                    <w:t>3.封装</w:t>
                  </w:r>
                </w:p>
                <w:p>
                  <w:pPr>
                    <w:pStyle w:val="null3"/>
                    <w:spacing w:before="60" w:after="60"/>
                    <w:ind w:firstLine="400"/>
                    <w:jc w:val="both"/>
                  </w:pPr>
                  <w:r>
                    <w:rPr>
                      <w:rFonts w:ascii="仿宋_GB2312" w:hAnsi="仿宋_GB2312" w:cs="仿宋_GB2312" w:eastAsia="仿宋_GB2312"/>
                      <w:sz w:val="20"/>
                      <w:color w:val="0000FF"/>
                    </w:rPr>
                    <w:t>采用</w:t>
                  </w:r>
                  <w:r>
                    <w:rPr>
                      <w:rFonts w:ascii="仿宋_GB2312" w:hAnsi="仿宋_GB2312" w:cs="仿宋_GB2312" w:eastAsia="仿宋_GB2312"/>
                      <w:sz w:val="20"/>
                      <w:color w:val="0000FF"/>
                    </w:rPr>
                    <w:t>MP4封装(移动硬盘存储)。</w:t>
                  </w:r>
                </w:p>
                <w:p>
                  <w:pPr>
                    <w:pStyle w:val="null3"/>
                    <w:spacing w:before="60" w:after="60"/>
                    <w:ind w:firstLine="402"/>
                    <w:jc w:val="both"/>
                  </w:pPr>
                  <w:r>
                    <w:rPr>
                      <w:rFonts w:ascii="仿宋_GB2312" w:hAnsi="仿宋_GB2312" w:cs="仿宋_GB2312" w:eastAsia="仿宋_GB2312"/>
                      <w:sz w:val="20"/>
                      <w:b/>
                      <w:color w:val="0000FF"/>
                    </w:rPr>
                    <w:t>四</w:t>
                  </w:r>
                  <w:r>
                    <w:rPr>
                      <w:rFonts w:ascii="仿宋_GB2312" w:hAnsi="仿宋_GB2312" w:cs="仿宋_GB2312" w:eastAsia="仿宋_GB2312"/>
                      <w:sz w:val="20"/>
                      <w:b/>
                      <w:color w:val="0000FF"/>
                    </w:rPr>
                    <w:t>、商务要求</w:t>
                  </w:r>
                </w:p>
                <w:p>
                  <w:pPr>
                    <w:pStyle w:val="null3"/>
                    <w:spacing w:before="60" w:after="60"/>
                    <w:ind w:firstLine="400"/>
                    <w:jc w:val="both"/>
                  </w:pPr>
                  <w:r>
                    <w:rPr>
                      <w:rFonts w:ascii="仿宋_GB2312" w:hAnsi="仿宋_GB2312" w:cs="仿宋_GB2312" w:eastAsia="仿宋_GB2312"/>
                      <w:sz w:val="20"/>
                      <w:color w:val="0000FF"/>
                    </w:rPr>
                    <w:t>(一)服务期限</w:t>
                  </w:r>
                </w:p>
                <w:p>
                  <w:pPr>
                    <w:pStyle w:val="null3"/>
                    <w:spacing w:before="60" w:after="60"/>
                    <w:ind w:firstLine="400"/>
                    <w:jc w:val="both"/>
                  </w:pPr>
                  <w:r>
                    <w:rPr>
                      <w:rFonts w:ascii="仿宋_GB2312" w:hAnsi="仿宋_GB2312" w:cs="仿宋_GB2312" w:eastAsia="仿宋_GB2312"/>
                      <w:sz w:val="20"/>
                      <w:color w:val="0000FF"/>
                    </w:rPr>
                    <w:t>合同签订后</w:t>
                  </w:r>
                  <w:r>
                    <w:rPr>
                      <w:rFonts w:ascii="仿宋_GB2312" w:hAnsi="仿宋_GB2312" w:cs="仿宋_GB2312" w:eastAsia="仿宋_GB2312"/>
                      <w:sz w:val="20"/>
                      <w:color w:val="0000FF"/>
                    </w:rPr>
                    <w:t>15个日历日。</w:t>
                  </w:r>
                </w:p>
                <w:p>
                  <w:pPr>
                    <w:pStyle w:val="null3"/>
                    <w:spacing w:before="60" w:after="60"/>
                    <w:ind w:firstLine="400"/>
                    <w:jc w:val="both"/>
                  </w:pPr>
                  <w:r>
                    <w:rPr>
                      <w:rFonts w:ascii="仿宋_GB2312" w:hAnsi="仿宋_GB2312" w:cs="仿宋_GB2312" w:eastAsia="仿宋_GB2312"/>
                      <w:sz w:val="20"/>
                      <w:color w:val="0000FF"/>
                    </w:rPr>
                    <w:t>(二)款项结算</w:t>
                  </w:r>
                </w:p>
                <w:p>
                  <w:pPr>
                    <w:pStyle w:val="null3"/>
                    <w:spacing w:before="60" w:after="60"/>
                    <w:ind w:firstLine="400"/>
                    <w:jc w:val="both"/>
                  </w:pPr>
                  <w:r>
                    <w:rPr>
                      <w:rFonts w:ascii="仿宋_GB2312" w:hAnsi="仿宋_GB2312" w:cs="仿宋_GB2312" w:eastAsia="仿宋_GB2312"/>
                      <w:sz w:val="20"/>
                      <w:color w:val="0000FF"/>
                    </w:rPr>
                    <w:t>服务完成后，对实际的课程资源进行验收确认，确认且收到服务方开具的等额有效发票后。达到付款条件起</w:t>
                  </w:r>
                  <w:r>
                    <w:rPr>
                      <w:rFonts w:ascii="仿宋_GB2312" w:hAnsi="仿宋_GB2312" w:cs="仿宋_GB2312" w:eastAsia="仿宋_GB2312"/>
                      <w:sz w:val="20"/>
                      <w:color w:val="0000FF"/>
                    </w:rPr>
                    <w:t>30日内，支付合同总金额的100%。</w:t>
                  </w:r>
                </w:p>
                <w:p>
                  <w:pPr>
                    <w:pStyle w:val="null3"/>
                    <w:spacing w:before="60" w:after="60"/>
                    <w:ind w:firstLine="400"/>
                    <w:jc w:val="both"/>
                  </w:pPr>
                  <w:r>
                    <w:rPr>
                      <w:rFonts w:ascii="仿宋_GB2312" w:hAnsi="仿宋_GB2312" w:cs="仿宋_GB2312" w:eastAsia="仿宋_GB2312"/>
                      <w:sz w:val="20"/>
                      <w:color w:val="0000FF"/>
                    </w:rPr>
                    <w:t>（三）其他要求</w:t>
                  </w:r>
                </w:p>
                <w:p>
                  <w:pPr>
                    <w:pStyle w:val="null3"/>
                    <w:spacing w:before="60" w:after="60"/>
                    <w:ind w:firstLine="400"/>
                    <w:jc w:val="both"/>
                  </w:pPr>
                  <w:r>
                    <w:rPr>
                      <w:rFonts w:ascii="仿宋_GB2312" w:hAnsi="仿宋_GB2312" w:cs="仿宋_GB2312" w:eastAsia="仿宋_GB2312"/>
                      <w:sz w:val="20"/>
                      <w:color w:val="0000FF"/>
                    </w:rPr>
                    <w:t>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中采购的</w:t>
                  </w:r>
                  <w:r>
                    <w:rPr>
                      <w:rFonts w:ascii="仿宋_GB2312" w:hAnsi="仿宋_GB2312" w:cs="仿宋_GB2312" w:eastAsia="仿宋_GB2312"/>
                      <w:sz w:val="20"/>
                      <w:color w:val="0000FF"/>
                    </w:rPr>
                    <w:t>“课程资源”用于西安开放大学所属的培训平台和陕西省人力资源和社会保障厅所属的陕西省专业技术人员继续教育网等（以下简称甲方平台），并须以用户名口令的认证方式向甲方平台学员教学开放使用。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按照甲方要求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服务完成后，对实际的课程资源进行验收确认，确认且收到服务方开具的等额有效发票后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1、按《民法典》中的相关条款执行。 2、除本合同约定，合同一经签订，不得擅自变更、中止或者终止合同。对确需变更、调整或者中止、终止合同的，应按规定履行相应的手续。 3、任何一方因不可抗力原因不能履行协议时，应尽快通知对方，双方均设法补偿。如仍无法履约协议，可协商延缓或撤销协议，双方责任免除。 4、乙方未按时完成服务内容的，每逾期一日，按照应付款项的千分之一向甲方支付违约金；逾期超过十五日的，甲方有权解除本合同。乙方应退还甲方已支付的全部款项，并按照合同总金额的20%向甲方支付违约金。 5、乙方应对所提供的服务，已取得合法知识产权或其使用权，并保证所提供的服务不会出现因第三方提出侵犯其版权、商标权或其它知识产权而引发法律或经济纠纷，否则由乙方负责解决并承担全部责任（包括但不限于甲方为解决此类纠纷支出的诉讼费/仲裁费、律师费及差旅费等）；如因此影响到甲方的正常使用，甲方有权单方解除本合同，乙方应无条件向甲方退回已收取的全部合同价款。 解决争议的方法： 本合同在履行过程中发生的争议，由甲、乙双方当事人协商解决，协商不成的按下列第2种方式解决： 1、提交当地仲裁委员会仲裁；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份（电子版需Word版本、签字盖章扫描后的PDF版本响应文件），装订：纸质版文件采用书籍（胶装）方式装订成册并在书脊处标注项目名称和项目编号，与电子响应一致的签字、盖章的完整版本。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1、财务状况报告：提供2023年度或2024年度完整版的财务审计报告，成立时间至提交投标文件截止时间不足一年的可提供成立后任意时段的资产负债表，或投标时间前六个月内基本账户银行出具的资信证明； 2、税收缴纳证明：提供投标截止之日前一年内已缴纳的至少三个月的纳税证明或完税证明（任意税种），依法免税的单位应提供相关证明材料； 3、社会保障资金缴纳证明：提供投标截止之日前一年内已缴存的至少三个月的社会保障资金缴存单据或社保机构开具的社会保险参保缴费情况证明，依法不需要缴纳社会保障资金的单位应提供相关证明材料； 4、专业技术能力说明：提供具有履行本合同所必需的设备和专业技术能力的说明及承诺书；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6、参加政府采购活动前3年内，在经营活动中没有重大违法记录的书面声明； 注：（1）以上1-6项，提供“基本资格条件承诺函”的，可不再提供其他证明文件。（2）供应商需在项目电子化交易系统中按要求上传相应证明文件并进行电子签章。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首次报价表.docx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响应文件封面 业绩一览表.docx 分项报价表.docx 供应商认为有必要说明的其他问题.docx 标的清单 报价表 商务应答表.docx 服务内容及服务要求应答表.docx 响应函 首次报价表.docx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供应商提供针对本项目的理解方案。 1、充分理解本项目服务需求，对项目现状和整体认知的理解，思路清晰明确得5分； 2、理解方案有针对性，但还有可以优化空间得3分； 3、方案内容有缺陷、表述前后不一致、套用其他项目方案或与项目需求不匹配等得1分；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针对本项目详细列明总体方案，内容包括但不限于：①课程设计②录制及拍摄策划③拍摄场地④项目投入设备⑤片头片尾策划⑥添加字幕⑦课件资源交付。 二、评审标准 1、完整性：方案必须全面，对评审内容中的各项要求有详细描述； 2、可实施性：切合本项目实际情况，提出步骤清晰、合理的方案； 3、针对性：方案能够紧扣项目实际情况，内容科学合理。 上述7项评审内容每满足一项评审标准得1分，满分21分。 每项评审内容或每项评审标准存在“瑕疵”的扣0.5分，扣完为止。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注：提供专业拍摄和制作服务基地证明（包括场地名称、具体地址、场地照片； 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针对本项目技术指标具有详细、具体、可行的技术方案，内容包括但不限于：①视频信号源②音频信号源。 二、评审标准 1、完整性：方案必须全面，对评审内容中的各项指标要求有详细描述且无负偏离； 2、适用性：切合本项目实际情况及技术指标中各项要求，提出适用性强且合理的方案； 3、针对性：方案能够紧扣项目实际情况，内容科学合理。 上述2项评审内容每满足一项评审标准得2分，满分12分。 每项评审内容或每项评审标准存在“瑕疵”的扣1分，扣完为止。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课件资源交付方案</w:t>
            </w:r>
          </w:p>
        </w:tc>
        <w:tc>
          <w:tcPr>
            <w:tcW w:type="dxa" w:w="2492"/>
          </w:tcPr>
          <w:p>
            <w:pPr>
              <w:pStyle w:val="null3"/>
            </w:pPr>
            <w:r>
              <w:rPr>
                <w:rFonts w:ascii="仿宋_GB2312" w:hAnsi="仿宋_GB2312" w:cs="仿宋_GB2312" w:eastAsia="仿宋_GB2312"/>
              </w:rPr>
              <w:t>一、评审内容 针对本项目课件资源交付文件的要求及技术参数提供详细、具体、可行的方案。 二、评审标准 1、完整性：方案必须全面，对评审内容中的各项指标要求有详细描述且无负偏离； 2、适用性：切合本项目实际情况及各项要求，提出适用性强且合理的方案； 3、针对性：方案能够紧扣项目实际情况，内容科学合理。 上述1项评审内容每满足一项评审标准得3分，满分9分。 每项评审内容或每项评审标准存在“瑕疵”的扣1分，扣完为止。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1、项目负责人具备类似项目服务经验（提供项目负责人履历表、身份证复印件、学历、近三个月社保证明材料）得3分； 2、项目其他成员（不包含项目负责人），如编导、摄像师等，需具备类似项目服务经验，提供1个得1分，最高得7分； 未提供不得分。 备注：供应商需对以上人员的从业工作年限、年龄、学历、职业经历等进行详细的描述）。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根据演示样片的制作思路是否清晰，样片设计以及后期制作的技术性能进行打分。 供应商提供一门已制作完成的课程样片进行展示，课程样片须不少于3种拍摄手法，为后续课程建设提供参考，并承诺为采购人制作的视频不低于现场演示视频的制作水平。 1、样片无知识性和常识性错误，画面清晰，构图合理，声音干净无杂音，特效使用合理，画面设计简洁美观，得10分； 2、样片无知识性和常识性错误，画面清晰度不高，声音无杂音，构图不够合理严谨，无特效，得6分； 3、样片存在知识性和常识性错误，有杂音，无特效，画面设计差，得3分；未演示不得分； 演示时长：现场演示，演示时间不得超过15分钟，供应商自带笔记本电脑及附属设备。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供应商提供的课程资源渠道正常，确保供应的产品无产权纠纷，需提供承诺书，得4分。未提供不得分。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根据本项目采购的224门课程资源量的基础上，每增加100门课程资源量得1分，最高得3分，以每一门课程时长不得低于 55 分钟为准，提供相关承诺书，未提供不得分。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提供2022年05月1日至今类似项目业绩，每提供一份得2分,最高得6分。未提供不得分。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