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版本号：SXGS2025-ZC-00920250528001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2025年度招商引资会务活动保障服务采购项目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SXGS2025-ZC-009</w:t>
      </w:r>
      <w:r>
        <w:br/>
      </w:r>
      <w:r>
        <w:br/>
      </w:r>
      <w:r>
        <w:br/>
      </w:r>
    </w:p>
    <w:p>
      <w:pPr>
        <w:pStyle w:val="null3"/>
        <w:jc w:val="center"/>
        <w:outlineLvl w:val="2"/>
      </w:pPr>
      <w:r>
        <w:rPr>
          <w:rFonts w:ascii="仿宋_GB2312" w:hAnsi="仿宋_GB2312" w:cs="仿宋_GB2312" w:eastAsia="仿宋_GB2312"/>
          <w:sz w:val="28"/>
          <w:b/>
        </w:rPr>
        <w:t>西安市投资合作局</w:t>
      </w:r>
    </w:p>
    <w:p>
      <w:pPr>
        <w:pStyle w:val="null3"/>
        <w:jc w:val="center"/>
        <w:outlineLvl w:val="2"/>
      </w:pPr>
      <w:r>
        <w:rPr>
          <w:rFonts w:ascii="仿宋_GB2312" w:hAnsi="仿宋_GB2312" w:cs="仿宋_GB2312" w:eastAsia="仿宋_GB2312"/>
          <w:sz w:val="28"/>
          <w:b/>
        </w:rPr>
        <w:t>陕西亘上项目管理咨询有限公司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陕西亘上项目管理咨询有限公司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西安市投资合作局</w:t>
      </w:r>
      <w:r>
        <w:rPr>
          <w:rFonts w:ascii="仿宋_GB2312" w:hAnsi="仿宋_GB2312" w:cs="仿宋_GB2312" w:eastAsia="仿宋_GB2312"/>
        </w:rPr>
        <w:t>委托，拟对</w:t>
      </w:r>
      <w:r>
        <w:rPr>
          <w:rFonts w:ascii="仿宋_GB2312" w:hAnsi="仿宋_GB2312" w:cs="仿宋_GB2312" w:eastAsia="仿宋_GB2312"/>
        </w:rPr>
        <w:t>2025年度招商引资会务活动保障服务采购项目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SXGS2025-ZC-009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2025年度招商引资会务活动保障服务采购项目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市投资合作局2025年度招商引资会务活动保障服务采购项目，项目服务期限为自合同签订之日起1年，在服务期内供应商根据采购人需求进行具体会务活动保障服务（包括但不限于采购人于2025年1月03日，意向公开中明确的西安市投资合作局2025全年招商引资会务活动保障服务所列具体会务服务活动，具体活动开展情况以甲方实际需求为准）。</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采购包1（2025年度招商引资会务活动保障服务采购项目）：属于专门面向中小企业采购。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1、独立承担民事责任能力：具有独立承担民事责任能力的法人、其他组织或自然人，并出具合法有效的统一社会信用代码的营业执照或事业单位法人证书等国家规定的相关证明，自然人参与的提供其身份证明；</w:t>
      </w:r>
    </w:p>
    <w:p>
      <w:pPr>
        <w:pStyle w:val="null3"/>
      </w:pPr>
      <w:r>
        <w:rPr>
          <w:rFonts w:ascii="仿宋_GB2312" w:hAnsi="仿宋_GB2312" w:cs="仿宋_GB2312" w:eastAsia="仿宋_GB2312"/>
        </w:rPr>
        <w:t>2、法定代表人授权书：提供法定代表人授权书（附法定代表人、被授权人身份证复印件），法定代表人直接参加，须提供法定代表人身份证明（附法定代表人身份证复印件、法人签字或盖章、加盖公章）；</w:t>
      </w:r>
    </w:p>
    <w:p>
      <w:pPr>
        <w:pStyle w:val="null3"/>
      </w:pPr>
      <w:r>
        <w:rPr>
          <w:rFonts w:ascii="仿宋_GB2312" w:hAnsi="仿宋_GB2312" w:cs="仿宋_GB2312" w:eastAsia="仿宋_GB2312"/>
        </w:rPr>
        <w:t>3、财务状况报告：提供2023或2024年度的财务审计报告（至少包括资产负债表和利润表，成立时间至提交投标文件截止时间不足一年的可提供成立后任意时段的资产负债表）；或其开标前半年内基本存款账户开户银行出具的资信证明；</w:t>
      </w:r>
    </w:p>
    <w:p>
      <w:pPr>
        <w:pStyle w:val="null3"/>
      </w:pPr>
      <w:r>
        <w:rPr>
          <w:rFonts w:ascii="仿宋_GB2312" w:hAnsi="仿宋_GB2312" w:cs="仿宋_GB2312" w:eastAsia="仿宋_GB2312"/>
        </w:rPr>
        <w:t>4、税收缴纳证明：提供投标截止日前一年内已缴纳的至少一个月的纳税证明或完税证明(任意税种)，依法免税的单位应提供相关证明材料;</w:t>
      </w:r>
    </w:p>
    <w:p>
      <w:pPr>
        <w:pStyle w:val="null3"/>
      </w:pPr>
      <w:r>
        <w:rPr>
          <w:rFonts w:ascii="仿宋_GB2312" w:hAnsi="仿宋_GB2312" w:cs="仿宋_GB2312" w:eastAsia="仿宋_GB2312"/>
        </w:rPr>
        <w:t>5、社会保障资金缴纳证明：提供投标截止日前一年内已缴纳的至少一个月的社会保障资金缴存单据或社保机构开具的社会保险参保缴费情况证明，依法不需要缴纳社会保障资金的单位应提供相关证明材料;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6、承诺：提供具有履行本合同所必需的设备和专业技术能力的说明及承诺书；</w:t>
      </w:r>
    </w:p>
    <w:p>
      <w:pPr>
        <w:pStyle w:val="null3"/>
      </w:pPr>
      <w:r>
        <w:rPr>
          <w:rFonts w:ascii="仿宋_GB2312" w:hAnsi="仿宋_GB2312" w:cs="仿宋_GB2312" w:eastAsia="仿宋_GB2312"/>
        </w:rPr>
        <w:t>7、中小企业声明函：本项目为专门面向中小企业采购（提供中小企业声明函或监狱企业的证明文件或残疾人福利性单位声明函）；</w:t>
      </w:r>
    </w:p>
    <w:p>
      <w:pPr>
        <w:pStyle w:val="null3"/>
      </w:pPr>
      <w:r>
        <w:rPr>
          <w:rFonts w:ascii="仿宋_GB2312" w:hAnsi="仿宋_GB2312" w:cs="仿宋_GB2312" w:eastAsia="仿宋_GB2312"/>
        </w:rPr>
        <w:t>8、没有重大违法记录的书面声明：参加政府采购活动前三年内，在经营活动中没有重大违法记录的书面声明（成立时间至提交响应文件截止时间不足三年的可提供成立至今的书面声明）;</w:t>
      </w:r>
    </w:p>
    <w:p>
      <w:pPr>
        <w:pStyle w:val="null3"/>
      </w:pPr>
      <w:r>
        <w:rPr>
          <w:rFonts w:ascii="仿宋_GB2312" w:hAnsi="仿宋_GB2312" w:cs="仿宋_GB2312" w:eastAsia="仿宋_GB2312"/>
        </w:rPr>
        <w:t>9、信用中国：供应商不得为“信用中国(www.creditchina.gov.cn)”中列入失信被执行人和重大税收违法案件当事人名单的供应商，不得为“中国政府采购网(www.ccgp.gov.cn)”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政府采购严重违法失信行为记录名单中被财政部门禁止参加政府采购活动的供应商（采购代理机构查询时限为响应文件递交截止之日）；</w:t>
      </w:r>
    </w:p>
    <w:p>
      <w:pPr>
        <w:pStyle w:val="null3"/>
      </w:pPr>
      <w:r>
        <w:rPr>
          <w:rFonts w:ascii="仿宋_GB2312" w:hAnsi="仿宋_GB2312" w:cs="仿宋_GB2312" w:eastAsia="仿宋_GB2312"/>
        </w:rPr>
        <w:t>10、不接受联合体投标：本项目不接受联合体投标（提供承诺书）；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西安市投资合作局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西安市投资合作局经办刘成峰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15686103103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陕西亘上项目管理咨询有限公司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陕西省西安市未央区未央路荣豪大厦12层1222室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029-87363598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采购包1：4,370,000.00元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依据国家计委颁发的《招标代理服务收费管理暂行办法》（计价格[2002]1980号）国家发展和改革委员会办公厅颁发的《关于招标代理服务收费有关问题的通知》（发改办价格[2003]857号）的有关规定执行，代理服务费不足5000元按5000元收取。 中标单位在领取成交通知书前，须向采购代理机构一次性支付招标代理服务费。 开户名称：陕西亘上项目管理咨询有限公司； 开户银行：中国建设银行股份有限公司西安广安路支行 银行账号：61050173960009555555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西安市投资合作局</w:t>
      </w:r>
      <w:r>
        <w:rPr>
          <w:rFonts w:ascii="仿宋_GB2312" w:hAnsi="仿宋_GB2312" w:cs="仿宋_GB2312" w:eastAsia="仿宋_GB2312"/>
        </w:rPr>
        <w:t>和</w:t>
      </w:r>
      <w:r>
        <w:rPr>
          <w:rFonts w:ascii="仿宋_GB2312" w:hAnsi="仿宋_GB2312" w:cs="仿宋_GB2312" w:eastAsia="仿宋_GB2312"/>
        </w:rPr>
        <w:t>陕西亘上项目管理咨询有限公司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西安市投资合作局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陕西亘上项目管理咨询有限公司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西安市投资合作局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陕西亘上项目管理咨询有限公司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符合国家规范规定及行业质量验收标准。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陕西亘上项目管理咨询有限公司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陕西亘上项目管理咨询有限公司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陕西亘上项目管理咨询有限公司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联系人：李工</w:t>
      </w:r>
    </w:p>
    <w:p>
      <w:pPr>
        <w:pStyle w:val="null3"/>
      </w:pPr>
      <w:r>
        <w:rPr>
          <w:rFonts w:ascii="仿宋_GB2312" w:hAnsi="仿宋_GB2312" w:cs="仿宋_GB2312" w:eastAsia="仿宋_GB2312"/>
        </w:rPr>
        <w:t>联系电话：029-87363598</w:t>
      </w:r>
    </w:p>
    <w:p>
      <w:pPr>
        <w:pStyle w:val="null3"/>
      </w:pPr>
      <w:r>
        <w:rPr>
          <w:rFonts w:ascii="仿宋_GB2312" w:hAnsi="仿宋_GB2312" w:cs="仿宋_GB2312" w:eastAsia="仿宋_GB2312"/>
        </w:rPr>
        <w:t>地址：陕西省西安市未央区未央路荣豪大厦12层1222室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投资合作局2025年度招商引资会务活动保障服务采购项目，项目服务期限为自合同签订之日起1年，在服务期内供应商根据采购人需求进行具体会务活动保障服务（包括但不限于采购人于2025年1月03日，意向公开中明确的西安市投资合作局2025全年招商引资会务活动保障服务所列具体会务服务活动，具体活动开展情况以甲方实际需求为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4,370,000.00</w:t>
      </w:r>
    </w:p>
    <w:p>
      <w:pPr>
        <w:pStyle w:val="null3"/>
      </w:pPr>
      <w:r>
        <w:rPr>
          <w:rFonts w:ascii="仿宋_GB2312" w:hAnsi="仿宋_GB2312" w:cs="仿宋_GB2312" w:eastAsia="仿宋_GB2312"/>
        </w:rPr>
        <w:t>采购包最高限价（元）: 4,370,000.00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2025年度招商引资会务活动保障服务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4,370,000.00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标的名称：2025年度招商引资会务活动保障服务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after="105"/>
              <w:ind w:firstLine="281"/>
              <w:jc w:val="both"/>
            </w:pPr>
            <w:r>
              <w:rPr>
                <w:rFonts w:ascii="仿宋_GB2312" w:hAnsi="仿宋_GB2312" w:cs="仿宋_GB2312" w:eastAsia="仿宋_GB2312"/>
                <w:sz w:val="28"/>
                <w:b/>
              </w:rPr>
              <w:t>一、</w:t>
            </w:r>
            <w:r>
              <w:rPr>
                <w:rFonts w:ascii="仿宋_GB2312" w:hAnsi="仿宋_GB2312" w:cs="仿宋_GB2312" w:eastAsia="仿宋_GB2312"/>
                <w:sz w:val="28"/>
                <w:b/>
              </w:rPr>
              <w:t>项目概况</w:t>
            </w:r>
          </w:p>
          <w:p>
            <w:pPr>
              <w:pStyle w:val="null3"/>
              <w:spacing w:before="105" w:after="105"/>
              <w:ind w:firstLine="480"/>
              <w:jc w:val="both"/>
            </w:pPr>
            <w:r>
              <w:rPr>
                <w:rFonts w:ascii="仿宋_GB2312" w:hAnsi="仿宋_GB2312" w:cs="仿宋_GB2312" w:eastAsia="仿宋_GB2312"/>
                <w:sz w:val="24"/>
              </w:rPr>
              <w:t>西安市投资合作局</w:t>
            </w:r>
            <w:r>
              <w:rPr>
                <w:rFonts w:ascii="仿宋_GB2312" w:hAnsi="仿宋_GB2312" w:cs="仿宋_GB2312" w:eastAsia="仿宋_GB2312"/>
                <w:sz w:val="24"/>
              </w:rPr>
              <w:t>2025年度招商引资会务活动保障服务采购项目，项目服务期限为自合同签订之日起1年，在服务期内供应商根据采购人需求进行具体会务活动保障服务（包括但不限于采购人于2025年1月03日，意向公开中明确的西安市投资合作局2025全年招商引资会务活动保障服务所列具体会务服务活动，具体活动开展情况以甲方实际需求为准）。</w:t>
            </w:r>
          </w:p>
          <w:p>
            <w:pPr>
              <w:pStyle w:val="null3"/>
              <w:jc w:val="both"/>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spacing w:before="105" w:after="105"/>
              <w:ind w:left="360"/>
              <w:jc w:val="both"/>
            </w:pPr>
            <w:r>
              <w:rPr>
                <w:rFonts w:ascii="仿宋_GB2312" w:hAnsi="仿宋_GB2312" w:cs="仿宋_GB2312" w:eastAsia="仿宋_GB2312"/>
                <w:sz w:val="28"/>
              </w:rPr>
              <w:t>二、服务内容</w:t>
            </w:r>
          </w:p>
          <w:p>
            <w:pPr>
              <w:pStyle w:val="null3"/>
              <w:spacing w:before="105" w:after="105"/>
              <w:ind w:firstLine="480"/>
              <w:jc w:val="both"/>
            </w:pPr>
            <w:r>
              <w:rPr>
                <w:rFonts w:ascii="仿宋_GB2312" w:hAnsi="仿宋_GB2312" w:cs="仿宋_GB2312" w:eastAsia="仿宋_GB2312"/>
                <w:sz w:val="24"/>
              </w:rPr>
              <w:t>1、收到会务服务需求通知后2个工作日内制定活动整体策划方案：根据活动的主旨及形式要求，对整个活动整体策划，编制具体的布展方案并根据时间安排提出合理的工作计划。其中包括：一、招商引资重点推介活动：1.参加中国国际贸易投资洽谈会；2.参加中国国际进口博览会；3.香港招商联络处工作经费；4.举办全市招商引资推介大会暨重点项目签约仪式；二、重要产业链招商活动：1.2025年西安市轨道交通产业合作恳谈会；2.2025年西安市输变电装备产业合作局谈会；3.外出招商工作；4.2025年度ICCHINA特装参展；5.2025年度电子信息制造业投资合作交流会；6.外出招商工作；7.西安市楼宇经济推介大会；8.西安市央地合作大会；9.外出招商工作；10.2025大飞机产业招商推介会；11.2025西安低空经济产业招商推介会；12.外出招商工作；13.2025西安市与跨国公司上海对话会；14.外出招商工作；15.西安市新能源产业链对接交流会；16.西安市新材料产业链对接交流会。</w:t>
            </w:r>
          </w:p>
          <w:p>
            <w:pPr>
              <w:pStyle w:val="null3"/>
              <w:spacing w:before="105" w:after="105"/>
              <w:ind w:firstLine="480"/>
              <w:jc w:val="both"/>
            </w:pPr>
            <w:r>
              <w:rPr>
                <w:rFonts w:ascii="仿宋_GB2312" w:hAnsi="仿宋_GB2312" w:cs="仿宋_GB2312" w:eastAsia="仿宋_GB2312"/>
                <w:sz w:val="24"/>
              </w:rPr>
              <w:t>2、具体服务内容包括：</w:t>
            </w:r>
          </w:p>
          <w:p>
            <w:pPr>
              <w:pStyle w:val="null3"/>
              <w:spacing w:before="105" w:after="105"/>
              <w:ind w:firstLine="480"/>
              <w:jc w:val="both"/>
            </w:pPr>
            <w:r>
              <w:rPr>
                <w:rFonts w:ascii="仿宋_GB2312" w:hAnsi="仿宋_GB2312" w:cs="仿宋_GB2312" w:eastAsia="仿宋_GB2312"/>
                <w:sz w:val="24"/>
              </w:rPr>
              <w:t>①LED屏幕及配套设备；</w:t>
            </w:r>
          </w:p>
          <w:p>
            <w:pPr>
              <w:pStyle w:val="null3"/>
              <w:spacing w:before="105" w:after="105"/>
              <w:ind w:firstLine="480"/>
              <w:jc w:val="both"/>
            </w:pPr>
            <w:r>
              <w:rPr>
                <w:rFonts w:ascii="仿宋_GB2312" w:hAnsi="仿宋_GB2312" w:cs="仿宋_GB2312" w:eastAsia="仿宋_GB2312"/>
                <w:sz w:val="24"/>
              </w:rPr>
              <w:t>②音响的配置；</w:t>
            </w:r>
          </w:p>
          <w:p>
            <w:pPr>
              <w:pStyle w:val="null3"/>
              <w:spacing w:before="105" w:after="105"/>
              <w:ind w:firstLine="480"/>
              <w:jc w:val="both"/>
            </w:pPr>
            <w:r>
              <w:rPr>
                <w:rFonts w:ascii="仿宋_GB2312" w:hAnsi="仿宋_GB2312" w:cs="仿宋_GB2312" w:eastAsia="仿宋_GB2312"/>
                <w:sz w:val="24"/>
              </w:rPr>
              <w:t>③会场灯光的配置；</w:t>
            </w:r>
          </w:p>
          <w:p>
            <w:pPr>
              <w:pStyle w:val="null3"/>
              <w:spacing w:before="105" w:after="105"/>
              <w:ind w:firstLine="480"/>
              <w:jc w:val="both"/>
            </w:pPr>
            <w:r>
              <w:rPr>
                <w:rFonts w:ascii="仿宋_GB2312" w:hAnsi="仿宋_GB2312" w:cs="仿宋_GB2312" w:eastAsia="仿宋_GB2312"/>
                <w:sz w:val="24"/>
              </w:rPr>
              <w:t>④同传及翻译服务；</w:t>
            </w:r>
          </w:p>
          <w:p>
            <w:pPr>
              <w:pStyle w:val="null3"/>
              <w:spacing w:before="105" w:after="105"/>
              <w:ind w:firstLine="480"/>
              <w:jc w:val="both"/>
            </w:pPr>
            <w:r>
              <w:rPr>
                <w:rFonts w:ascii="仿宋_GB2312" w:hAnsi="仿宋_GB2312" w:cs="仿宋_GB2312" w:eastAsia="仿宋_GB2312"/>
                <w:sz w:val="24"/>
              </w:rPr>
              <w:t>⑤摄像、摄影服务；</w:t>
            </w:r>
          </w:p>
          <w:p>
            <w:pPr>
              <w:pStyle w:val="null3"/>
              <w:spacing w:before="105" w:after="105"/>
              <w:ind w:firstLine="480"/>
              <w:jc w:val="both"/>
            </w:pPr>
            <w:r>
              <w:rPr>
                <w:rFonts w:ascii="仿宋_GB2312" w:hAnsi="仿宋_GB2312" w:cs="仿宋_GB2312" w:eastAsia="仿宋_GB2312"/>
                <w:sz w:val="24"/>
              </w:rPr>
              <w:t>⑥设计、印刷服务；</w:t>
            </w:r>
          </w:p>
          <w:p>
            <w:pPr>
              <w:pStyle w:val="null3"/>
              <w:spacing w:before="105" w:after="105"/>
              <w:ind w:firstLine="480"/>
              <w:jc w:val="both"/>
            </w:pPr>
            <w:r>
              <w:rPr>
                <w:rFonts w:ascii="仿宋_GB2312" w:hAnsi="仿宋_GB2312" w:cs="仿宋_GB2312" w:eastAsia="仿宋_GB2312"/>
                <w:sz w:val="24"/>
              </w:rPr>
              <w:t>⑦会场布置服务；</w:t>
            </w:r>
          </w:p>
          <w:p>
            <w:pPr>
              <w:pStyle w:val="null3"/>
              <w:spacing w:before="105" w:after="105"/>
              <w:ind w:firstLine="480"/>
              <w:jc w:val="both"/>
            </w:pPr>
            <w:r>
              <w:rPr>
                <w:rFonts w:ascii="仿宋_GB2312" w:hAnsi="仿宋_GB2312" w:cs="仿宋_GB2312" w:eastAsia="仿宋_GB2312"/>
                <w:sz w:val="24"/>
              </w:rPr>
              <w:t>⑧会议活动工作内容：提供会场布置效果图、现场排位图；会场布置，派员协助大会现场PPT播放、视频播放；派员负责大会现场全程录像并提供视频资料；派员负责大会现场嘉宾台牌、座位编号贴纸的制作、摆放、张贴，安排速记员、主持人、同传翻译人员等。</w:t>
            </w:r>
          </w:p>
          <w:p>
            <w:pPr>
              <w:pStyle w:val="null3"/>
              <w:spacing w:before="105" w:after="105"/>
              <w:ind w:firstLine="480"/>
              <w:jc w:val="both"/>
            </w:pPr>
            <w:r>
              <w:rPr>
                <w:rFonts w:ascii="仿宋_GB2312" w:hAnsi="仿宋_GB2312" w:cs="仿宋_GB2312" w:eastAsia="仿宋_GB2312"/>
                <w:sz w:val="24"/>
              </w:rPr>
              <w:t>3、供应商在服务期内至少配备以下物品、人员，在满足会议需求的前提下，根据会议规模进行物品、人员增减。</w:t>
            </w:r>
          </w:p>
          <w:p>
            <w:pPr>
              <w:pStyle w:val="null3"/>
              <w:spacing w:before="105" w:after="105"/>
              <w:ind w:firstLine="480"/>
              <w:jc w:val="both"/>
            </w:pPr>
            <w:r>
              <w:rPr>
                <w:rFonts w:ascii="仿宋_GB2312" w:hAnsi="仿宋_GB2312" w:cs="仿宋_GB2312" w:eastAsia="仿宋_GB2312"/>
                <w:sz w:val="24"/>
              </w:rPr>
              <w:t>①会议活动基本布置所需设备清单</w:t>
            </w:r>
          </w:p>
          <w:tbl>
            <w:tblPr>
              <w:tblInd w:type="dxa" w:w="90"/>
              <w:tblBorders>
                <w:top w:val="none" w:color="000000" w:sz="4"/>
                <w:left w:val="none" w:color="000000" w:sz="4"/>
                <w:bottom w:val="none" w:color="000000" w:sz="4"/>
                <w:right w:val="none" w:color="000000" w:sz="4"/>
                <w:insideH w:val="none"/>
                <w:insideV w:val="none"/>
              </w:tblBorders>
            </w:tblPr>
            <w:tblGrid>
              <w:gridCol w:w="261"/>
              <w:gridCol w:w="606"/>
              <w:gridCol w:w="266"/>
              <w:gridCol w:w="1418"/>
            </w:tblGrid>
            <w:tr>
              <w:tc>
                <w:tcPr>
                  <w:tcW w:type="dxa" w:w="2551"/>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采购清单</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序号</w:t>
                  </w:r>
                </w:p>
              </w:tc>
              <w:tc>
                <w:tcPr>
                  <w:tcW w:type="dxa" w:w="6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名</w:t>
                  </w:r>
                  <w:r>
                    <w:rPr>
                      <w:rFonts w:ascii="仿宋_GB2312" w:hAnsi="仿宋_GB2312" w:cs="仿宋_GB2312" w:eastAsia="仿宋_GB2312"/>
                      <w:sz w:val="21"/>
                    </w:rPr>
                    <w:t>称</w:t>
                  </w:r>
                </w:p>
              </w:tc>
              <w:tc>
                <w:tcPr>
                  <w:tcW w:type="dxa" w:w="2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单位</w:t>
                  </w:r>
                </w:p>
              </w:tc>
              <w:tc>
                <w:tcPr>
                  <w:tcW w:type="dxa" w:w="14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备注</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1</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舞台</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便捷式拆卸雷亚舞台</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2</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拉绒地毯</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灰色拉绒阻燃毯</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3</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舞台踏步</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米</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桁架地毯全包踏步</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4</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定制演讲台</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个</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木质，长</w:t>
                  </w:r>
                  <w:r>
                    <w:rPr>
                      <w:rFonts w:ascii="仿宋_GB2312" w:hAnsi="仿宋_GB2312" w:cs="仿宋_GB2312" w:eastAsia="仿宋_GB2312"/>
                      <w:sz w:val="21"/>
                    </w:rPr>
                    <w:t>70cm*</w:t>
                  </w:r>
                  <w:r>
                    <w:rPr>
                      <w:rFonts w:ascii="仿宋_GB2312" w:hAnsi="仿宋_GB2312" w:cs="仿宋_GB2312" w:eastAsia="仿宋_GB2312"/>
                      <w:sz w:val="21"/>
                    </w:rPr>
                    <w:t>宽</w:t>
                  </w:r>
                  <w:r>
                    <w:rPr>
                      <w:rFonts w:ascii="仿宋_GB2312" w:hAnsi="仿宋_GB2312" w:cs="仿宋_GB2312" w:eastAsia="仿宋_GB2312"/>
                      <w:sz w:val="21"/>
                    </w:rPr>
                    <w:t>57cm*</w:t>
                  </w:r>
                  <w:r>
                    <w:rPr>
                      <w:rFonts w:ascii="仿宋_GB2312" w:hAnsi="仿宋_GB2312" w:cs="仿宋_GB2312" w:eastAsia="仿宋_GB2312"/>
                      <w:sz w:val="21"/>
                    </w:rPr>
                    <w:t>高</w:t>
                  </w:r>
                  <w:r>
                    <w:rPr>
                      <w:rFonts w:ascii="仿宋_GB2312" w:hAnsi="仿宋_GB2312" w:cs="仿宋_GB2312" w:eastAsia="仿宋_GB2312"/>
                      <w:sz w:val="21"/>
                    </w:rPr>
                    <w:t>118cm</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5</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舞台封边</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舞台两侧及前沿封边</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6</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LED</w:t>
                  </w:r>
                  <w:r>
                    <w:rPr>
                      <w:rFonts w:ascii="仿宋_GB2312" w:hAnsi="仿宋_GB2312" w:cs="仿宋_GB2312" w:eastAsia="仿宋_GB2312"/>
                      <w:sz w:val="21"/>
                    </w:rPr>
                    <w:t>大屏（</w:t>
                  </w:r>
                  <w:r>
                    <w:rPr>
                      <w:rFonts w:ascii="仿宋_GB2312" w:hAnsi="仿宋_GB2312" w:cs="仿宋_GB2312" w:eastAsia="仿宋_GB2312"/>
                      <w:sz w:val="21"/>
                    </w:rPr>
                    <w:t>P2</w:t>
                  </w:r>
                  <w:r>
                    <w:rPr>
                      <w:rFonts w:ascii="仿宋_GB2312" w:hAnsi="仿宋_GB2312" w:cs="仿宋_GB2312" w:eastAsia="仿宋_GB2312"/>
                      <w:sz w:val="21"/>
                    </w:rPr>
                    <w:t>）</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全彩</w:t>
                  </w:r>
                  <w:r>
                    <w:rPr>
                      <w:rFonts w:ascii="仿宋_GB2312" w:hAnsi="仿宋_GB2312" w:cs="仿宋_GB2312" w:eastAsia="仿宋_GB2312"/>
                      <w:sz w:val="21"/>
                    </w:rPr>
                    <w:t>LED P2</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7</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LED</w:t>
                  </w:r>
                  <w:r>
                    <w:rPr>
                      <w:rFonts w:ascii="仿宋_GB2312" w:hAnsi="仿宋_GB2312" w:cs="仿宋_GB2312" w:eastAsia="仿宋_GB2312"/>
                      <w:sz w:val="21"/>
                    </w:rPr>
                    <w:t>大屏（</w:t>
                  </w:r>
                  <w:r>
                    <w:rPr>
                      <w:rFonts w:ascii="仿宋_GB2312" w:hAnsi="仿宋_GB2312" w:cs="仿宋_GB2312" w:eastAsia="仿宋_GB2312"/>
                      <w:sz w:val="21"/>
                    </w:rPr>
                    <w:t>P3</w:t>
                  </w:r>
                  <w:r>
                    <w:rPr>
                      <w:rFonts w:ascii="仿宋_GB2312" w:hAnsi="仿宋_GB2312" w:cs="仿宋_GB2312" w:eastAsia="仿宋_GB2312"/>
                      <w:sz w:val="21"/>
                    </w:rPr>
                    <w:t>）</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全彩</w:t>
                  </w:r>
                  <w:r>
                    <w:rPr>
                      <w:rFonts w:ascii="仿宋_GB2312" w:hAnsi="仿宋_GB2312" w:cs="仿宋_GB2312" w:eastAsia="仿宋_GB2312"/>
                      <w:sz w:val="21"/>
                    </w:rPr>
                    <w:t>LED P3</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8</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雷亚架</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吨</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2m</w:t>
                  </w:r>
                  <w:r>
                    <w:rPr>
                      <w:rFonts w:ascii="仿宋_GB2312" w:hAnsi="仿宋_GB2312" w:cs="仿宋_GB2312" w:eastAsia="仿宋_GB2312"/>
                      <w:sz w:val="21"/>
                    </w:rPr>
                    <w:t>铝合金雷亚架</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9</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Cue</w:t>
                  </w:r>
                  <w:r>
                    <w:rPr>
                      <w:rFonts w:ascii="仿宋_GB2312" w:hAnsi="仿宋_GB2312" w:cs="仿宋_GB2312" w:eastAsia="仿宋_GB2312"/>
                      <w:sz w:val="21"/>
                    </w:rPr>
                    <w:t>一拖二翻页笔</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套</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高频</w:t>
                  </w:r>
                  <w:r>
                    <w:rPr>
                      <w:rFonts w:ascii="仿宋_GB2312" w:hAnsi="仿宋_GB2312" w:cs="仿宋_GB2312" w:eastAsia="仿宋_GB2312"/>
                      <w:sz w:val="21"/>
                    </w:rPr>
                    <w:t>CUE</w:t>
                  </w:r>
                  <w:r>
                    <w:rPr>
                      <w:rFonts w:ascii="仿宋_GB2312" w:hAnsi="仿宋_GB2312" w:cs="仿宋_GB2312" w:eastAsia="仿宋_GB2312"/>
                      <w:sz w:val="21"/>
                    </w:rPr>
                    <w:t>射频翻页器</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10</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分屏服务器</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个</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大屏分割窗口使用</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11</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切换服务器</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个</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大屏连接其他信号使用</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12</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配电箱设备</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个</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线材</w:t>
                  </w:r>
                  <w:r>
                    <w:rPr>
                      <w:rFonts w:ascii="仿宋_GB2312" w:hAnsi="仿宋_GB2312" w:cs="仿宋_GB2312" w:eastAsia="仿宋_GB2312"/>
                      <w:sz w:val="21"/>
                    </w:rPr>
                    <w:t>\</w:t>
                  </w:r>
                  <w:r>
                    <w:rPr>
                      <w:rFonts w:ascii="仿宋_GB2312" w:hAnsi="仿宋_GB2312" w:cs="仿宋_GB2312" w:eastAsia="仿宋_GB2312"/>
                      <w:sz w:val="21"/>
                    </w:rPr>
                    <w:t>耗材</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13</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笔记本电脑</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个</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笔记本电脑</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14</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控台监视器</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个</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预监大屏画面</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15</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专业控屏师</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人</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专业持证控屏人员</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16</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面光灯</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台</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800w</w:t>
                  </w:r>
                  <w:r>
                    <w:rPr>
                      <w:rFonts w:ascii="仿宋_GB2312" w:hAnsi="仿宋_GB2312" w:cs="仿宋_GB2312" w:eastAsia="仿宋_GB2312"/>
                      <w:sz w:val="21"/>
                    </w:rPr>
                    <w:t>面光灯舞台补光</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17</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射灯</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台</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高亮</w:t>
                  </w:r>
                  <w:r>
                    <w:rPr>
                      <w:rFonts w:ascii="仿宋_GB2312" w:hAnsi="仿宋_GB2312" w:cs="仿宋_GB2312" w:eastAsia="仿宋_GB2312"/>
                      <w:sz w:val="21"/>
                    </w:rPr>
                    <w:t>LED</w:t>
                  </w:r>
                  <w:r>
                    <w:rPr>
                      <w:rFonts w:ascii="仿宋_GB2312" w:hAnsi="仿宋_GB2312" w:cs="仿宋_GB2312" w:eastAsia="仿宋_GB2312"/>
                      <w:sz w:val="21"/>
                    </w:rPr>
                    <w:t>白炽光射灯</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18</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地排灯</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台</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圆筒高亮</w:t>
                  </w:r>
                  <w:r>
                    <w:rPr>
                      <w:rFonts w:ascii="仿宋_GB2312" w:hAnsi="仿宋_GB2312" w:cs="仿宋_GB2312" w:eastAsia="仿宋_GB2312"/>
                      <w:sz w:val="21"/>
                    </w:rPr>
                    <w:t>LED</w:t>
                  </w:r>
                  <w:r>
                    <w:rPr>
                      <w:rFonts w:ascii="仿宋_GB2312" w:hAnsi="仿宋_GB2312" w:cs="仿宋_GB2312" w:eastAsia="仿宋_GB2312"/>
                      <w:sz w:val="21"/>
                    </w:rPr>
                    <w:t>染色射灯</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19</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染色灯</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台</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全彩</w:t>
                  </w:r>
                  <w:r>
                    <w:rPr>
                      <w:rFonts w:ascii="仿宋_GB2312" w:hAnsi="仿宋_GB2312" w:cs="仿宋_GB2312" w:eastAsia="仿宋_GB2312"/>
                      <w:sz w:val="21"/>
                    </w:rPr>
                    <w:t>LED</w:t>
                  </w:r>
                  <w:r>
                    <w:rPr>
                      <w:rFonts w:ascii="仿宋_GB2312" w:hAnsi="仿宋_GB2312" w:cs="仿宋_GB2312" w:eastAsia="仿宋_GB2312"/>
                      <w:sz w:val="21"/>
                    </w:rPr>
                    <w:t>染色灯</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20</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切割灯</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台</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GTD1000</w:t>
                  </w:r>
                  <w:r>
                    <w:rPr>
                      <w:rFonts w:ascii="仿宋_GB2312" w:hAnsi="仿宋_GB2312" w:cs="仿宋_GB2312" w:eastAsia="仿宋_GB2312"/>
                      <w:sz w:val="21"/>
                    </w:rPr>
                    <w:t>专业切割灯</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21</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光束灯</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台</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铂典光束</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22</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LED</w:t>
                  </w:r>
                  <w:r>
                    <w:rPr>
                      <w:rFonts w:ascii="仿宋_GB2312" w:hAnsi="仿宋_GB2312" w:cs="仿宋_GB2312" w:eastAsia="仿宋_GB2312"/>
                      <w:sz w:val="21"/>
                    </w:rPr>
                    <w:t>帕灯</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台</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全彩</w:t>
                  </w:r>
                  <w:r>
                    <w:rPr>
                      <w:rFonts w:ascii="仿宋_GB2312" w:hAnsi="仿宋_GB2312" w:cs="仿宋_GB2312" w:eastAsia="仿宋_GB2312"/>
                      <w:sz w:val="21"/>
                    </w:rPr>
                    <w:t>LED</w:t>
                  </w:r>
                  <w:r>
                    <w:rPr>
                      <w:rFonts w:ascii="仿宋_GB2312" w:hAnsi="仿宋_GB2312" w:cs="仿宋_GB2312" w:eastAsia="仿宋_GB2312"/>
                      <w:sz w:val="21"/>
                    </w:rPr>
                    <w:t>染色帕灯</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23</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洗墙灯</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台</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100w</w:t>
                  </w:r>
                  <w:r>
                    <w:rPr>
                      <w:rFonts w:ascii="仿宋_GB2312" w:hAnsi="仿宋_GB2312" w:cs="仿宋_GB2312" w:eastAsia="仿宋_GB2312"/>
                      <w:sz w:val="21"/>
                    </w:rPr>
                    <w:t>高亮度洗墙灯</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24</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电脑切割灯</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台</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GTD1000</w:t>
                  </w:r>
                  <w:r>
                    <w:rPr>
                      <w:rFonts w:ascii="仿宋_GB2312" w:hAnsi="仿宋_GB2312" w:cs="仿宋_GB2312" w:eastAsia="仿宋_GB2312"/>
                      <w:sz w:val="21"/>
                    </w:rPr>
                    <w:t>专业切割灯</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25</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logo</w:t>
                  </w:r>
                  <w:r>
                    <w:rPr>
                      <w:rFonts w:ascii="仿宋_GB2312" w:hAnsi="仿宋_GB2312" w:cs="仿宋_GB2312" w:eastAsia="仿宋_GB2312"/>
                      <w:sz w:val="21"/>
                    </w:rPr>
                    <w:t>灯片</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台</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可定制</w:t>
                  </w:r>
                  <w:r>
                    <w:rPr>
                      <w:rFonts w:ascii="仿宋_GB2312" w:hAnsi="仿宋_GB2312" w:cs="仿宋_GB2312" w:eastAsia="仿宋_GB2312"/>
                      <w:sz w:val="21"/>
                    </w:rPr>
                    <w:t>LOGO</w:t>
                  </w:r>
                  <w:r>
                    <w:rPr>
                      <w:rFonts w:ascii="仿宋_GB2312" w:hAnsi="仿宋_GB2312" w:cs="仿宋_GB2312" w:eastAsia="仿宋_GB2312"/>
                      <w:sz w:val="21"/>
                    </w:rPr>
                    <w:t>或图案</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26</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灯光控台设备</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台</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MA</w:t>
                  </w:r>
                  <w:r>
                    <w:rPr>
                      <w:rFonts w:ascii="仿宋_GB2312" w:hAnsi="仿宋_GB2312" w:cs="仿宋_GB2312" w:eastAsia="仿宋_GB2312"/>
                      <w:sz w:val="21"/>
                    </w:rPr>
                    <w:t>数字灯控台</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27</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TRUSS</w:t>
                  </w:r>
                  <w:r>
                    <w:rPr>
                      <w:rFonts w:ascii="仿宋_GB2312" w:hAnsi="仿宋_GB2312" w:cs="仿宋_GB2312" w:eastAsia="仿宋_GB2312"/>
                      <w:sz w:val="21"/>
                    </w:rPr>
                    <w:t>架</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米</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 xml:space="preserve">500mm*500mm </w:t>
                  </w:r>
                  <w:r>
                    <w:rPr>
                      <w:rFonts w:ascii="仿宋_GB2312" w:hAnsi="仿宋_GB2312" w:cs="仿宋_GB2312" w:eastAsia="仿宋_GB2312"/>
                      <w:sz w:val="21"/>
                    </w:rPr>
                    <w:t>黑色</w:t>
                  </w:r>
                  <w:r>
                    <w:rPr>
                      <w:rFonts w:ascii="仿宋_GB2312" w:hAnsi="仿宋_GB2312" w:cs="仿宋_GB2312" w:eastAsia="仿宋_GB2312"/>
                      <w:sz w:val="21"/>
                    </w:rPr>
                    <w:t>\</w:t>
                  </w:r>
                  <w:r>
                    <w:rPr>
                      <w:rFonts w:ascii="仿宋_GB2312" w:hAnsi="仿宋_GB2312" w:cs="仿宋_GB2312" w:eastAsia="仿宋_GB2312"/>
                      <w:sz w:val="21"/>
                    </w:rPr>
                    <w:t>银色</w:t>
                  </w:r>
                  <w:r>
                    <w:rPr>
                      <w:rFonts w:ascii="仿宋_GB2312" w:hAnsi="仿宋_GB2312" w:cs="仿宋_GB2312" w:eastAsia="仿宋_GB2312"/>
                      <w:sz w:val="21"/>
                    </w:rPr>
                    <w:t>truss</w:t>
                  </w:r>
                  <w:r>
                    <w:rPr>
                      <w:rFonts w:ascii="仿宋_GB2312" w:hAnsi="仿宋_GB2312" w:cs="仿宋_GB2312" w:eastAsia="仿宋_GB2312"/>
                      <w:sz w:val="21"/>
                    </w:rPr>
                    <w:t>架</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28</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专业灯光师</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人</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专业持证灯控人员</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29</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线阵音响</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台</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8+4</w:t>
                  </w:r>
                  <w:r>
                    <w:rPr>
                      <w:rFonts w:ascii="仿宋_GB2312" w:hAnsi="仿宋_GB2312" w:cs="仿宋_GB2312" w:eastAsia="仿宋_GB2312"/>
                      <w:sz w:val="21"/>
                    </w:rPr>
                    <w:t>线阵音响</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30</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双</w:t>
                  </w:r>
                  <w:r>
                    <w:rPr>
                      <w:rFonts w:ascii="仿宋_GB2312" w:hAnsi="仿宋_GB2312" w:cs="仿宋_GB2312" w:eastAsia="仿宋_GB2312"/>
                      <w:sz w:val="21"/>
                    </w:rPr>
                    <w:t>15</w:t>
                  </w:r>
                  <w:r>
                    <w:rPr>
                      <w:rFonts w:ascii="仿宋_GB2312" w:hAnsi="仿宋_GB2312" w:cs="仿宋_GB2312" w:eastAsia="仿宋_GB2312"/>
                      <w:sz w:val="21"/>
                    </w:rPr>
                    <w:t>全频音响</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台</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进口单元国内一线品牌</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31</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手持麦克风</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个</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手持麦</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32</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鹅颈讲台麦克风</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个</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讲台麦克风</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33</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无线电容讲台麦克风</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个</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电容麦收音</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34</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手拉手麦克风</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个</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有线串联桌面话筒</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35</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数字调音台</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项</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调音台</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36</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手拉手麦克风服务器</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项</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手持无线麦克风</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37</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全频主扩音箱</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台</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全频</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38</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线阵功率信号放大器</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项</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扇形增高无线信号放大器</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39</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信号增强接收机</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台</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信号增强</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40</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专业音响师</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人</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专业持证音控人员</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41</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速记</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人</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含专业的速记设备</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42</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礼仪</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人</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形象气质佳，含化妆、服装等</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43</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会务执行</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人</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5</w:t>
                  </w:r>
                  <w:r>
                    <w:rPr>
                      <w:rFonts w:ascii="仿宋_GB2312" w:hAnsi="仿宋_GB2312" w:cs="仿宋_GB2312" w:eastAsia="仿宋_GB2312"/>
                      <w:sz w:val="21"/>
                    </w:rPr>
                    <w:t>年以上从业经验</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44</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会议兼职人员</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人</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专业会服人员</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45</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主持人</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人</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节点性活动主持人，含化妆、服装、道具等</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46</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电视台主持人</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人</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大型活动主持人，含化妆、服装、道具等</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47</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双语主持人</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人</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专业双语主持人，含化妆、服装、道具等</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48</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英语同传翻译</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人</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专业翻译</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49</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英语陪同翻译</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人</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专业翻译</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50</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英语语种速记</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人</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含专业的速记设备</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51</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俄语同传翻译</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人</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专业翻译</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52</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俄语陪同翻译</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人</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专业翻译</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53</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俄语语种速记</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人</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含专业的速记设备</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54</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日语同传翻译</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人</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专业翻译</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55</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日语陪同翻译</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人</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专业翻译</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56</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日语语种速记</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人</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含专业的速记设备</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57</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韩语同传翻译</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人</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专业翻译</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58</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韩语陪同翻译</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人</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专业翻译</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59</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韩语语种速记</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人</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含专业的速记设备</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60</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小语种速记</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人</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含专业的速记设备</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61</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翻译间</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间</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可移动拆卸隔音翻译间、含画面包装</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62</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译员机</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个</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翻译人员使用的专业译文机</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63</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辐射板</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块</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传播同传信号的红外辐射板</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64</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红外接收机</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只</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接收同传信号的红外接收机</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65</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网络专线</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条</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会议千兆网络专线</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66</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直播机位</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台</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专业直播设备</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67</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线上直播</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次</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专业直播设备</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68</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电子签到设备</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次</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微信签到</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69</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签到系统</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次</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支持扫码签到</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70</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桌牌</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个</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桌面亚克力强磁桌签</w:t>
                  </w:r>
                  <w:r>
                    <w:rPr>
                      <w:rFonts w:ascii="仿宋_GB2312" w:hAnsi="仿宋_GB2312" w:cs="仿宋_GB2312" w:eastAsia="仿宋_GB2312"/>
                      <w:sz w:val="21"/>
                    </w:rPr>
                    <w:t>+</w:t>
                  </w:r>
                  <w:r>
                    <w:rPr>
                      <w:rFonts w:ascii="仿宋_GB2312" w:hAnsi="仿宋_GB2312" w:cs="仿宋_GB2312" w:eastAsia="仿宋_GB2312"/>
                      <w:sz w:val="21"/>
                    </w:rPr>
                    <w:t>铜版纸双面内页</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71</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挂牌</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个</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PVC</w:t>
                  </w:r>
                  <w:r>
                    <w:rPr>
                      <w:rFonts w:ascii="仿宋_GB2312" w:hAnsi="仿宋_GB2312" w:cs="仿宋_GB2312" w:eastAsia="仿宋_GB2312"/>
                      <w:sz w:val="21"/>
                    </w:rPr>
                    <w:t>磨砂</w:t>
                  </w:r>
                  <w:r>
                    <w:rPr>
                      <w:rFonts w:ascii="仿宋_GB2312" w:hAnsi="仿宋_GB2312" w:cs="仿宋_GB2312" w:eastAsia="仿宋_GB2312"/>
                      <w:sz w:val="21"/>
                    </w:rPr>
                    <w:t>\</w:t>
                  </w:r>
                  <w:r>
                    <w:rPr>
                      <w:rFonts w:ascii="仿宋_GB2312" w:hAnsi="仿宋_GB2312" w:cs="仿宋_GB2312" w:eastAsia="仿宋_GB2312"/>
                      <w:sz w:val="21"/>
                    </w:rPr>
                    <w:t>亮光材质</w:t>
                  </w:r>
                  <w:r>
                    <w:rPr>
                      <w:rFonts w:ascii="仿宋_GB2312" w:hAnsi="仿宋_GB2312" w:cs="仿宋_GB2312" w:eastAsia="仿宋_GB2312"/>
                      <w:sz w:val="21"/>
                    </w:rPr>
                    <w:t>+</w:t>
                  </w:r>
                  <w:r>
                    <w:rPr>
                      <w:rFonts w:ascii="仿宋_GB2312" w:hAnsi="仿宋_GB2312" w:cs="仿宋_GB2312" w:eastAsia="仿宋_GB2312"/>
                      <w:sz w:val="21"/>
                    </w:rPr>
                    <w:t>双孔挂绳</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72</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丽屏展架</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个</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黑色磨砂铝合金材质</w:t>
                  </w:r>
                  <w:r>
                    <w:rPr>
                      <w:rFonts w:ascii="仿宋_GB2312" w:hAnsi="仿宋_GB2312" w:cs="仿宋_GB2312" w:eastAsia="仿宋_GB2312"/>
                      <w:sz w:val="21"/>
                    </w:rPr>
                    <w:t>-1*2</w:t>
                  </w:r>
                  <w:r>
                    <w:rPr>
                      <w:rFonts w:ascii="仿宋_GB2312" w:hAnsi="仿宋_GB2312" w:cs="仿宋_GB2312" w:eastAsia="仿宋_GB2312"/>
                      <w:sz w:val="21"/>
                    </w:rPr>
                    <w:t>米</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73</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摄影机位</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套</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专业摄影设备</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74</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专业摄影师</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人</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5</w:t>
                  </w:r>
                  <w:r>
                    <w:rPr>
                      <w:rFonts w:ascii="仿宋_GB2312" w:hAnsi="仿宋_GB2312" w:cs="仿宋_GB2312" w:eastAsia="仿宋_GB2312"/>
                      <w:sz w:val="21"/>
                    </w:rPr>
                    <w:t>年以上从业经验</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75</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摄像机位</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套</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专业摄像设备</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76</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专业摄像师</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人</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5</w:t>
                  </w:r>
                  <w:r>
                    <w:rPr>
                      <w:rFonts w:ascii="仿宋_GB2312" w:hAnsi="仿宋_GB2312" w:cs="仿宋_GB2312" w:eastAsia="仿宋_GB2312"/>
                      <w:sz w:val="21"/>
                    </w:rPr>
                    <w:t>年以上从业经验</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77</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视频连线</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点位</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网络聚合服务连线系统</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78</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视频剪辑</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次</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后期处理，</w:t>
                  </w:r>
                  <w:r>
                    <w:rPr>
                      <w:rFonts w:ascii="仿宋_GB2312" w:hAnsi="仿宋_GB2312" w:cs="仿宋_GB2312" w:eastAsia="仿宋_GB2312"/>
                      <w:sz w:val="21"/>
                    </w:rPr>
                    <w:t>15-30s</w:t>
                  </w:r>
                  <w:r>
                    <w:rPr>
                      <w:rFonts w:ascii="仿宋_GB2312" w:hAnsi="仿宋_GB2312" w:cs="仿宋_GB2312" w:eastAsia="仿宋_GB2312"/>
                      <w:sz w:val="21"/>
                    </w:rPr>
                    <w:t>短视频等</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79</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云直播</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项</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后台剪辑修图下载等</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80</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发射主机</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套</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同传信号发射机</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81</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中央控制器</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台</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同传信号控制器</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82</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视频服务器</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台</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3</w:t>
                  </w:r>
                  <w:r>
                    <w:rPr>
                      <w:rFonts w:ascii="仿宋_GB2312" w:hAnsi="仿宋_GB2312" w:cs="仿宋_GB2312" w:eastAsia="仿宋_GB2312"/>
                      <w:sz w:val="21"/>
                    </w:rPr>
                    <w:t>大运营商自选云视频服务器</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83</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视频会议设备主机</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项</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便携式</w:t>
                  </w:r>
                  <w:r>
                    <w:rPr>
                      <w:rFonts w:ascii="仿宋_GB2312" w:hAnsi="仿宋_GB2312" w:cs="仿宋_GB2312" w:eastAsia="仿宋_GB2312"/>
                      <w:sz w:val="21"/>
                    </w:rPr>
                    <w:t>5G</w:t>
                  </w:r>
                  <w:r>
                    <w:rPr>
                      <w:rFonts w:ascii="仿宋_GB2312" w:hAnsi="仿宋_GB2312" w:cs="仿宋_GB2312" w:eastAsia="仿宋_GB2312"/>
                      <w:sz w:val="21"/>
                    </w:rPr>
                    <w:t>信号视频主机</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84</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单云台</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台</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线上会议直播云台机位</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85</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双云台</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套</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线上会议直播云台机位</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86</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无线传屏器</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台</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笔记本</w:t>
                  </w:r>
                  <w:r>
                    <w:rPr>
                      <w:rFonts w:ascii="仿宋_GB2312" w:hAnsi="仿宋_GB2312" w:cs="仿宋_GB2312" w:eastAsia="仿宋_GB2312"/>
                      <w:sz w:val="21"/>
                    </w:rPr>
                    <w:t>-</w:t>
                  </w:r>
                  <w:r>
                    <w:rPr>
                      <w:rFonts w:ascii="仿宋_GB2312" w:hAnsi="仿宋_GB2312" w:cs="仿宋_GB2312" w:eastAsia="仿宋_GB2312"/>
                      <w:sz w:val="21"/>
                    </w:rPr>
                    <w:t>大屏</w:t>
                  </w:r>
                  <w:r>
                    <w:rPr>
                      <w:rFonts w:ascii="仿宋_GB2312" w:hAnsi="仿宋_GB2312" w:cs="仿宋_GB2312" w:eastAsia="仿宋_GB2312"/>
                      <w:sz w:val="21"/>
                    </w:rPr>
                    <w:t>多端无线传屏设备</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87</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导播台</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台</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专业导播切换控台</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88</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导播师</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人</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5</w:t>
                  </w:r>
                  <w:r>
                    <w:rPr>
                      <w:rFonts w:ascii="仿宋_GB2312" w:hAnsi="仿宋_GB2312" w:cs="仿宋_GB2312" w:eastAsia="仿宋_GB2312"/>
                      <w:sz w:val="21"/>
                    </w:rPr>
                    <w:t>年以上从业经验</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89</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航拍</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台</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5</w:t>
                  </w:r>
                  <w:r>
                    <w:rPr>
                      <w:rFonts w:ascii="仿宋_GB2312" w:hAnsi="仿宋_GB2312" w:cs="仿宋_GB2312" w:eastAsia="仿宋_GB2312"/>
                      <w:sz w:val="21"/>
                    </w:rPr>
                    <w:t>年以上从业经验</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90</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摇臂</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项</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5</w:t>
                  </w:r>
                  <w:r>
                    <w:rPr>
                      <w:rFonts w:ascii="仿宋_GB2312" w:hAnsi="仿宋_GB2312" w:cs="仿宋_GB2312" w:eastAsia="仿宋_GB2312"/>
                      <w:sz w:val="21"/>
                    </w:rPr>
                    <w:t>米机械摇臂</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91</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资料翻译</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每百字</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标准国际会议翻译</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92</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PPT</w:t>
                  </w:r>
                  <w:r>
                    <w:rPr>
                      <w:rFonts w:ascii="仿宋_GB2312" w:hAnsi="仿宋_GB2312" w:cs="仿宋_GB2312" w:eastAsia="仿宋_GB2312"/>
                      <w:sz w:val="21"/>
                    </w:rPr>
                    <w:t>美化</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项</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演讲</w:t>
                  </w:r>
                  <w:r>
                    <w:rPr>
                      <w:rFonts w:ascii="仿宋_GB2312" w:hAnsi="仿宋_GB2312" w:cs="仿宋_GB2312" w:eastAsia="仿宋_GB2312"/>
                      <w:sz w:val="21"/>
                    </w:rPr>
                    <w:t>PPT</w:t>
                  </w:r>
                  <w:r>
                    <w:rPr>
                      <w:rFonts w:ascii="仿宋_GB2312" w:hAnsi="仿宋_GB2312" w:cs="仿宋_GB2312" w:eastAsia="仿宋_GB2312"/>
                      <w:sz w:val="21"/>
                    </w:rPr>
                    <w:t>制作，美化</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93</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活动策划</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次</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策划、执行、流程</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94</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H5</w:t>
                  </w:r>
                  <w:r>
                    <w:rPr>
                      <w:rFonts w:ascii="仿宋_GB2312" w:hAnsi="仿宋_GB2312" w:cs="仿宋_GB2312" w:eastAsia="仿宋_GB2312"/>
                      <w:sz w:val="21"/>
                    </w:rPr>
                    <w:t>制作</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项</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电子宣传海报</w:t>
                  </w:r>
                  <w:r>
                    <w:rPr>
                      <w:rFonts w:ascii="仿宋_GB2312" w:hAnsi="仿宋_GB2312" w:cs="仿宋_GB2312" w:eastAsia="仿宋_GB2312"/>
                      <w:sz w:val="21"/>
                    </w:rPr>
                    <w:t>\</w:t>
                  </w:r>
                  <w:r>
                    <w:rPr>
                      <w:rFonts w:ascii="仿宋_GB2312" w:hAnsi="仿宋_GB2312" w:cs="仿宋_GB2312" w:eastAsia="仿宋_GB2312"/>
                      <w:sz w:val="21"/>
                    </w:rPr>
                    <w:t>链接</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95</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会议手册制作</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张</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200</w:t>
                  </w:r>
                  <w:r>
                    <w:rPr>
                      <w:rFonts w:ascii="仿宋_GB2312" w:hAnsi="仿宋_GB2312" w:cs="仿宋_GB2312" w:eastAsia="仿宋_GB2312"/>
                      <w:sz w:val="21"/>
                    </w:rPr>
                    <w:t>克重铜版纸</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96</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媒体宣传</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平台</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各大门户网站</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97</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液晶电视</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台</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含支架，尺寸可选</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98</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背景桁架（黑白布）</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铝合金桁架，截面</w:t>
                  </w:r>
                  <w:r>
                    <w:rPr>
                      <w:rFonts w:ascii="仿宋_GB2312" w:hAnsi="仿宋_GB2312" w:cs="仿宋_GB2312" w:eastAsia="仿宋_GB2312"/>
                      <w:sz w:val="21"/>
                    </w:rPr>
                    <w:t>20*20cm</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99</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拉网展架背板</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铝合金拉网展架</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100</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专业会议场地租赁</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项</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以市场价或政府协议价为准</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101</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白色方形茶几</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个</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白色方形茶几，颜色可换</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102</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白色方形沙发</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个</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白色</w:t>
                  </w:r>
                  <w:r>
                    <w:rPr>
                      <w:rFonts w:ascii="仿宋_GB2312" w:hAnsi="仿宋_GB2312" w:cs="仿宋_GB2312" w:eastAsia="仿宋_GB2312"/>
                      <w:sz w:val="21"/>
                    </w:rPr>
                    <w:t>/</w:t>
                  </w:r>
                  <w:r>
                    <w:rPr>
                      <w:rFonts w:ascii="仿宋_GB2312" w:hAnsi="仿宋_GB2312" w:cs="仿宋_GB2312" w:eastAsia="仿宋_GB2312"/>
                      <w:sz w:val="21"/>
                    </w:rPr>
                    <w:t>红色方形皮质沙发，颜色可换</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103</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贵宾椅</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个</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酒店贵宾椅，含椅套，椅背、背花</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104</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嘉宾姓名桌卡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个</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亚克力桌卡，双面</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105</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提词器</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个</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50</w:t>
                  </w:r>
                  <w:r>
                    <w:rPr>
                      <w:rFonts w:ascii="仿宋_GB2312" w:hAnsi="仿宋_GB2312" w:cs="仿宋_GB2312" w:eastAsia="仿宋_GB2312"/>
                      <w:sz w:val="21"/>
                    </w:rPr>
                    <w:t>寸</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106</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签约道具</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个</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定制</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107</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启动道具</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个</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定制</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108</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站位贴</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套</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定制</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109</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礼宾杆</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个</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金色金属杆</w:t>
                  </w:r>
                  <w:r>
                    <w:rPr>
                      <w:rFonts w:ascii="仿宋_GB2312" w:hAnsi="仿宋_GB2312" w:cs="仿宋_GB2312" w:eastAsia="仿宋_GB2312"/>
                      <w:sz w:val="21"/>
                    </w:rPr>
                    <w:t>+</w:t>
                  </w:r>
                  <w:r>
                    <w:rPr>
                      <w:rFonts w:ascii="仿宋_GB2312" w:hAnsi="仿宋_GB2312" w:cs="仿宋_GB2312" w:eastAsia="仿宋_GB2312"/>
                      <w:sz w:val="21"/>
                    </w:rPr>
                    <w:t>红色围栏</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110</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托盘</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个</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高强防滑豪华托盘，配专用高密托盘盖布</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111</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注水道旗</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个</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铝合金架子注水道旗</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112</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打印机</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台</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配</w:t>
                  </w:r>
                  <w:r>
                    <w:rPr>
                      <w:rFonts w:ascii="仿宋_GB2312" w:hAnsi="仿宋_GB2312" w:cs="仿宋_GB2312" w:eastAsia="仿宋_GB2312"/>
                      <w:sz w:val="21"/>
                    </w:rPr>
                    <w:t>500</w:t>
                  </w:r>
                  <w:r>
                    <w:rPr>
                      <w:rFonts w:ascii="仿宋_GB2312" w:hAnsi="仿宋_GB2312" w:cs="仿宋_GB2312" w:eastAsia="仿宋_GB2312"/>
                      <w:sz w:val="21"/>
                    </w:rPr>
                    <w:t>张</w:t>
                  </w:r>
                  <w:r>
                    <w:rPr>
                      <w:rFonts w:ascii="仿宋_GB2312" w:hAnsi="仿宋_GB2312" w:cs="仿宋_GB2312" w:eastAsia="仿宋_GB2312"/>
                      <w:sz w:val="21"/>
                    </w:rPr>
                    <w:t>A4</w:t>
                  </w:r>
                  <w:r>
                    <w:rPr>
                      <w:rFonts w:ascii="仿宋_GB2312" w:hAnsi="仿宋_GB2312" w:cs="仿宋_GB2312" w:eastAsia="仿宋_GB2312"/>
                      <w:sz w:val="21"/>
                    </w:rPr>
                    <w:t>打印普通纸</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113</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揭牌架</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个</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木制</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114</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邀请函</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份</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定制设计</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115</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工作证</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份</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常规</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116</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亚克力台卡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份</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含画面，画面精度</w:t>
                  </w:r>
                  <w:r>
                    <w:rPr>
                      <w:rFonts w:ascii="仿宋_GB2312" w:hAnsi="仿宋_GB2312" w:cs="仿宋_GB2312" w:eastAsia="仿宋_GB2312"/>
                      <w:sz w:val="21"/>
                    </w:rPr>
                    <w:t>720ppi</w:t>
                  </w:r>
                  <w:r>
                    <w:rPr>
                      <w:rFonts w:ascii="仿宋_GB2312" w:hAnsi="仿宋_GB2312" w:cs="仿宋_GB2312" w:eastAsia="仿宋_GB2312"/>
                      <w:sz w:val="21"/>
                    </w:rPr>
                    <w:t>，</w:t>
                  </w:r>
                  <w:r>
                    <w:rPr>
                      <w:rFonts w:ascii="仿宋_GB2312" w:hAnsi="仿宋_GB2312" w:cs="仿宋_GB2312" w:eastAsia="仿宋_GB2312"/>
                      <w:sz w:val="21"/>
                    </w:rPr>
                    <w:t>15cm</w:t>
                  </w:r>
                  <w:r>
                    <w:rPr>
                      <w:rFonts w:ascii="仿宋_GB2312" w:hAnsi="仿宋_GB2312" w:cs="仿宋_GB2312" w:eastAsia="仿宋_GB2312"/>
                      <w:sz w:val="21"/>
                    </w:rPr>
                    <w:t>×</w:t>
                  </w:r>
                  <w:r>
                    <w:rPr>
                      <w:rFonts w:ascii="仿宋_GB2312" w:hAnsi="仿宋_GB2312" w:cs="仿宋_GB2312" w:eastAsia="仿宋_GB2312"/>
                      <w:sz w:val="21"/>
                    </w:rPr>
                    <w:t>21cm</w:t>
                  </w:r>
                  <w:r>
                    <w:rPr>
                      <w:rFonts w:ascii="仿宋_GB2312" w:hAnsi="仿宋_GB2312" w:cs="仿宋_GB2312" w:eastAsia="仿宋_GB2312"/>
                      <w:sz w:val="21"/>
                    </w:rPr>
                    <w:t>亚克力</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117</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KT</w:t>
                  </w:r>
                  <w:r>
                    <w:rPr>
                      <w:rFonts w:ascii="仿宋_GB2312" w:hAnsi="仿宋_GB2312" w:cs="仿宋_GB2312" w:eastAsia="仿宋_GB2312"/>
                      <w:sz w:val="21"/>
                    </w:rPr>
                    <w:t>板导视</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个</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精度</w:t>
                  </w:r>
                  <w:r>
                    <w:rPr>
                      <w:rFonts w:ascii="仿宋_GB2312" w:hAnsi="仿宋_GB2312" w:cs="仿宋_GB2312" w:eastAsia="仿宋_GB2312"/>
                      <w:sz w:val="21"/>
                    </w:rPr>
                    <w:t>720dpi,KT</w:t>
                  </w:r>
                  <w:r>
                    <w:rPr>
                      <w:rFonts w:ascii="仿宋_GB2312" w:hAnsi="仿宋_GB2312" w:cs="仿宋_GB2312" w:eastAsia="仿宋_GB2312"/>
                      <w:sz w:val="21"/>
                    </w:rPr>
                    <w:t>板</w:t>
                  </w:r>
                  <w:r>
                    <w:rPr>
                      <w:rFonts w:ascii="仿宋_GB2312" w:hAnsi="仿宋_GB2312" w:cs="仿宋_GB2312" w:eastAsia="仿宋_GB2312"/>
                      <w:sz w:val="21"/>
                    </w:rPr>
                    <w:t>+</w:t>
                  </w:r>
                  <w:r>
                    <w:rPr>
                      <w:rFonts w:ascii="仿宋_GB2312" w:hAnsi="仿宋_GB2312" w:cs="仿宋_GB2312" w:eastAsia="仿宋_GB2312"/>
                      <w:sz w:val="21"/>
                    </w:rPr>
                    <w:t>国产室内背胶</w:t>
                  </w:r>
                  <w:r>
                    <w:rPr>
                      <w:rFonts w:ascii="仿宋_GB2312" w:hAnsi="仿宋_GB2312" w:cs="仿宋_GB2312" w:eastAsia="仿宋_GB2312"/>
                      <w:sz w:val="21"/>
                    </w:rPr>
                    <w:t>2*3m</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118</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椅背贴</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份</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可移背胶</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119</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定制牌匾</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个</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定制尺寸</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120</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议程单页</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份</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彩色，铜版纸、哑粉</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121</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宣传折页</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份</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会议议程，规则等、</w:t>
                  </w:r>
                  <w:r>
                    <w:rPr>
                      <w:rFonts w:ascii="仿宋_GB2312" w:hAnsi="仿宋_GB2312" w:cs="仿宋_GB2312" w:eastAsia="仿宋_GB2312"/>
                      <w:sz w:val="21"/>
                    </w:rPr>
                    <w:t>8</w:t>
                  </w:r>
                  <w:r>
                    <w:rPr>
                      <w:rFonts w:ascii="仿宋_GB2312" w:hAnsi="仿宋_GB2312" w:cs="仿宋_GB2312" w:eastAsia="仿宋_GB2312"/>
                      <w:sz w:val="21"/>
                    </w:rPr>
                    <w:t>折页，彩色，铜版纸、哑粉</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122</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手提袋（铜版纸）</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个</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可定制</w:t>
                  </w:r>
                  <w:r>
                    <w:rPr>
                      <w:rFonts w:ascii="仿宋_GB2312" w:hAnsi="仿宋_GB2312" w:cs="仿宋_GB2312" w:eastAsia="仿宋_GB2312"/>
                      <w:sz w:val="21"/>
                    </w:rPr>
                    <w:t>LOGO</w:t>
                  </w:r>
                  <w:r>
                    <w:rPr>
                      <w:rFonts w:ascii="仿宋_GB2312" w:hAnsi="仿宋_GB2312" w:cs="仿宋_GB2312" w:eastAsia="仿宋_GB2312"/>
                      <w:sz w:val="21"/>
                    </w:rPr>
                    <w:t>或图案</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123</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手提袋（帆布袋）</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个</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可定制</w:t>
                  </w:r>
                  <w:r>
                    <w:rPr>
                      <w:rFonts w:ascii="仿宋_GB2312" w:hAnsi="仿宋_GB2312" w:cs="仿宋_GB2312" w:eastAsia="仿宋_GB2312"/>
                      <w:sz w:val="21"/>
                    </w:rPr>
                    <w:t>LOGO</w:t>
                  </w:r>
                  <w:r>
                    <w:rPr>
                      <w:rFonts w:ascii="仿宋_GB2312" w:hAnsi="仿宋_GB2312" w:cs="仿宋_GB2312" w:eastAsia="仿宋_GB2312"/>
                      <w:sz w:val="21"/>
                    </w:rPr>
                    <w:t>或图案</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124</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GL8</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辆</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商务标配，接送嘉宾，全天使用，约</w:t>
                  </w:r>
                  <w:r>
                    <w:rPr>
                      <w:rFonts w:ascii="仿宋_GB2312" w:hAnsi="仿宋_GB2312" w:cs="仿宋_GB2312" w:eastAsia="仿宋_GB2312"/>
                      <w:sz w:val="21"/>
                    </w:rPr>
                    <w:t>300</w:t>
                  </w:r>
                  <w:r>
                    <w:rPr>
                      <w:rFonts w:ascii="仿宋_GB2312" w:hAnsi="仿宋_GB2312" w:cs="仿宋_GB2312" w:eastAsia="仿宋_GB2312"/>
                      <w:sz w:val="21"/>
                    </w:rPr>
                    <w:t>公里内</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125</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19</w:t>
                  </w:r>
                  <w:r>
                    <w:rPr>
                      <w:rFonts w:ascii="仿宋_GB2312" w:hAnsi="仿宋_GB2312" w:cs="仿宋_GB2312" w:eastAsia="仿宋_GB2312"/>
                      <w:sz w:val="21"/>
                    </w:rPr>
                    <w:t>座大巴车</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辆</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100</w:t>
                  </w:r>
                  <w:r>
                    <w:rPr>
                      <w:rFonts w:ascii="仿宋_GB2312" w:hAnsi="仿宋_GB2312" w:cs="仿宋_GB2312" w:eastAsia="仿宋_GB2312"/>
                      <w:sz w:val="21"/>
                    </w:rPr>
                    <w:t>公里内参照此报价，高速过路费另计。</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126</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39</w:t>
                  </w:r>
                  <w:r>
                    <w:rPr>
                      <w:rFonts w:ascii="仿宋_GB2312" w:hAnsi="仿宋_GB2312" w:cs="仿宋_GB2312" w:eastAsia="仿宋_GB2312"/>
                      <w:sz w:val="21"/>
                    </w:rPr>
                    <w:t>座大巴车</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辆</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100</w:t>
                  </w:r>
                  <w:r>
                    <w:rPr>
                      <w:rFonts w:ascii="仿宋_GB2312" w:hAnsi="仿宋_GB2312" w:cs="仿宋_GB2312" w:eastAsia="仿宋_GB2312"/>
                      <w:sz w:val="21"/>
                    </w:rPr>
                    <w:t>公里内参照此报价，高速过路费另计。</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127</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49</w:t>
                  </w:r>
                  <w:r>
                    <w:rPr>
                      <w:rFonts w:ascii="仿宋_GB2312" w:hAnsi="仿宋_GB2312" w:cs="仿宋_GB2312" w:eastAsia="仿宋_GB2312"/>
                      <w:sz w:val="21"/>
                    </w:rPr>
                    <w:t>座大巴车</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辆</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100</w:t>
                  </w:r>
                  <w:r>
                    <w:rPr>
                      <w:rFonts w:ascii="仿宋_GB2312" w:hAnsi="仿宋_GB2312" w:cs="仿宋_GB2312" w:eastAsia="仿宋_GB2312"/>
                      <w:sz w:val="21"/>
                    </w:rPr>
                    <w:t>公里内参照此报价，高速过路费另计。</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128</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备用发电机</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台</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100</w:t>
                  </w:r>
                  <w:r>
                    <w:rPr>
                      <w:rFonts w:ascii="仿宋_GB2312" w:hAnsi="仿宋_GB2312" w:cs="仿宋_GB2312" w:eastAsia="仿宋_GB2312"/>
                      <w:sz w:val="21"/>
                    </w:rPr>
                    <w:t>个千瓦，按</w:t>
                  </w:r>
                  <w:r>
                    <w:rPr>
                      <w:rFonts w:ascii="仿宋_GB2312" w:hAnsi="仿宋_GB2312" w:cs="仿宋_GB2312" w:eastAsia="仿宋_GB2312"/>
                      <w:sz w:val="21"/>
                    </w:rPr>
                    <w:t>8</w:t>
                  </w:r>
                  <w:r>
                    <w:rPr>
                      <w:rFonts w:ascii="仿宋_GB2312" w:hAnsi="仿宋_GB2312" w:cs="仿宋_GB2312" w:eastAsia="仿宋_GB2312"/>
                      <w:sz w:val="21"/>
                    </w:rPr>
                    <w:t>小时工作量计算，含油费</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129</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搭建人工</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人</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专业技术证书</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130</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布</w:t>
                  </w:r>
                  <w:r>
                    <w:rPr>
                      <w:rFonts w:ascii="仿宋_GB2312" w:hAnsi="仿宋_GB2312" w:cs="仿宋_GB2312" w:eastAsia="仿宋_GB2312"/>
                      <w:sz w:val="21"/>
                    </w:rPr>
                    <w:t>/</w:t>
                  </w:r>
                  <w:r>
                    <w:rPr>
                      <w:rFonts w:ascii="仿宋_GB2312" w:hAnsi="仿宋_GB2312" w:cs="仿宋_GB2312" w:eastAsia="仿宋_GB2312"/>
                      <w:sz w:val="21"/>
                    </w:rPr>
                    <w:t>撤场运输</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辆</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厢式货车带尾板</w:t>
                  </w:r>
                </w:p>
              </w:tc>
            </w:tr>
          </w:tbl>
          <w:p>
            <w:pPr>
              <w:pStyle w:val="null3"/>
              <w:spacing w:before="105" w:after="105"/>
              <w:ind w:firstLine="480"/>
              <w:jc w:val="both"/>
            </w:pPr>
            <w:r>
              <w:rPr>
                <w:rFonts w:ascii="仿宋_GB2312" w:hAnsi="仿宋_GB2312" w:cs="仿宋_GB2312" w:eastAsia="仿宋_GB2312"/>
                <w:sz w:val="24"/>
              </w:rPr>
              <w:t>4、提供采购需求编制服务。</w:t>
            </w:r>
          </w:p>
          <w:p>
            <w:pPr>
              <w:pStyle w:val="null3"/>
              <w:spacing w:before="105" w:after="105"/>
              <w:ind w:firstLine="480"/>
              <w:jc w:val="both"/>
            </w:pPr>
            <w:r>
              <w:rPr>
                <w:rFonts w:ascii="仿宋_GB2312" w:hAnsi="仿宋_GB2312" w:cs="仿宋_GB2312" w:eastAsia="仿宋_GB2312"/>
                <w:sz w:val="24"/>
              </w:rPr>
              <w:t>编制政府采购需求书，必要时开展市场调查，进行可行性分析，或邀请相关专业人员或者第三方机构参与咨询论证，科学合理确定采购需求。</w:t>
            </w:r>
          </w:p>
          <w:p>
            <w:pPr>
              <w:pStyle w:val="null3"/>
              <w:spacing w:before="105" w:after="105"/>
              <w:ind w:firstLine="480"/>
              <w:jc w:val="both"/>
            </w:pPr>
            <w:r>
              <w:rPr>
                <w:rFonts w:ascii="仿宋_GB2312" w:hAnsi="仿宋_GB2312" w:cs="仿宋_GB2312" w:eastAsia="仿宋_GB2312"/>
                <w:sz w:val="24"/>
              </w:rPr>
              <w:t>5、配合做好审计工作。</w:t>
            </w:r>
          </w:p>
          <w:p>
            <w:pPr>
              <w:pStyle w:val="null3"/>
              <w:spacing w:before="105" w:after="105"/>
              <w:ind w:firstLine="480"/>
              <w:jc w:val="both"/>
            </w:pPr>
            <w:r>
              <w:rPr>
                <w:rFonts w:ascii="仿宋_GB2312" w:hAnsi="仿宋_GB2312" w:cs="仿宋_GB2312" w:eastAsia="仿宋_GB2312"/>
                <w:sz w:val="24"/>
              </w:rPr>
              <w:t>根据市政府相关规定，属于市级大型活动的会务服务，大型活动结束后，应按照相关规定进行财务收支审计，审计经费列入大型活动经费预算。</w:t>
            </w:r>
          </w:p>
          <w:p>
            <w:pPr>
              <w:pStyle w:val="null3"/>
              <w:spacing w:before="105" w:after="105"/>
              <w:ind w:firstLine="480"/>
              <w:jc w:val="both"/>
            </w:pPr>
            <w:r>
              <w:rPr>
                <w:rFonts w:ascii="仿宋_GB2312" w:hAnsi="仿宋_GB2312" w:cs="仿宋_GB2312" w:eastAsia="仿宋_GB2312"/>
                <w:sz w:val="24"/>
              </w:rPr>
              <w:t>6、采购项目履约验收有关工作。</w:t>
            </w:r>
          </w:p>
          <w:p>
            <w:pPr>
              <w:pStyle w:val="null3"/>
              <w:spacing w:before="105" w:after="105"/>
              <w:ind w:firstLine="480"/>
              <w:jc w:val="both"/>
            </w:pPr>
            <w:r>
              <w:rPr>
                <w:rFonts w:ascii="仿宋_GB2312" w:hAnsi="仿宋_GB2312" w:cs="仿宋_GB2312" w:eastAsia="仿宋_GB2312"/>
                <w:sz w:val="24"/>
              </w:rPr>
              <w:t>项目结束后进行验收工作。制定验收方案、成立验收小组、必要时可以邀请专业机构等对成交供应商的履约情况进行验收，并形成验收结论、出具验收报告。</w:t>
            </w:r>
          </w:p>
          <w:p>
            <w:pPr>
              <w:pStyle w:val="null3"/>
              <w:spacing w:before="105" w:after="105"/>
              <w:ind w:firstLine="480"/>
              <w:jc w:val="both"/>
            </w:pPr>
            <w:r>
              <w:rPr>
                <w:rFonts w:ascii="仿宋_GB2312" w:hAnsi="仿宋_GB2312" w:cs="仿宋_GB2312" w:eastAsia="仿宋_GB2312"/>
                <w:sz w:val="24"/>
              </w:rPr>
              <w:t>本项目采购预算即包含项目整体验收费用，具体金额可参照《陕西省财政厅关于印发政府采购评审专家管理劳务报酬标准的通知》（陕财办采资</w:t>
            </w:r>
            <w:r>
              <w:rPr>
                <w:rFonts w:ascii="仿宋_GB2312" w:hAnsi="仿宋_GB2312" w:cs="仿宋_GB2312" w:eastAsia="仿宋_GB2312"/>
                <w:sz w:val="24"/>
              </w:rPr>
              <w:t>[2017]153号）相关规定，经采购人与代理机构协助确定。</w:t>
            </w:r>
          </w:p>
          <w:p>
            <w:pPr>
              <w:pStyle w:val="null3"/>
              <w:spacing w:before="105" w:after="105"/>
              <w:ind w:firstLine="480"/>
              <w:jc w:val="both"/>
            </w:pPr>
            <w:r>
              <w:rPr>
                <w:rFonts w:ascii="仿宋_GB2312" w:hAnsi="仿宋_GB2312" w:cs="仿宋_GB2312" w:eastAsia="仿宋_GB2312"/>
                <w:sz w:val="24"/>
              </w:rPr>
              <w:t>7、绩效评价工作。</w:t>
            </w:r>
          </w:p>
          <w:p>
            <w:pPr>
              <w:pStyle w:val="null3"/>
              <w:spacing w:before="105" w:after="105"/>
              <w:ind w:firstLine="480"/>
              <w:jc w:val="both"/>
            </w:pPr>
            <w:r>
              <w:rPr>
                <w:rFonts w:ascii="仿宋_GB2312" w:hAnsi="仿宋_GB2312" w:cs="仿宋_GB2312" w:eastAsia="仿宋_GB2312"/>
                <w:sz w:val="24"/>
              </w:rPr>
              <w:t>单场会务活动结束后，配合经办处室按照要求对政府采购预算执行情况进行自我评价，并提交绩效报告。整体项目完成后，确有必要的可委托有资质的第三方中介机构进行总体绩效评价并出具报告。要将取得绩效和设定的目标对比，如未达成的需说明理由。</w:t>
            </w:r>
          </w:p>
          <w:p>
            <w:pPr>
              <w:pStyle w:val="null3"/>
              <w:spacing w:before="105" w:after="105"/>
              <w:ind w:firstLine="480"/>
              <w:jc w:val="both"/>
            </w:pPr>
            <w:r>
              <w:rPr>
                <w:rFonts w:ascii="仿宋_GB2312" w:hAnsi="仿宋_GB2312" w:cs="仿宋_GB2312" w:eastAsia="仿宋_GB2312"/>
              </w:rPr>
              <w:t xml:space="preserve"> </w:t>
            </w:r>
          </w:p>
          <w:p>
            <w:pPr>
              <w:pStyle w:val="null3"/>
              <w:spacing w:before="105" w:after="105"/>
              <w:ind w:firstLine="480"/>
              <w:jc w:val="both"/>
            </w:pPr>
            <w:r>
              <w:rPr>
                <w:rFonts w:ascii="仿宋_GB2312" w:hAnsi="仿宋_GB2312" w:cs="仿宋_GB2312" w:eastAsia="仿宋_GB2312"/>
              </w:rPr>
              <w:t xml:space="preserve"> </w:t>
            </w:r>
          </w:p>
          <w:p>
            <w:pPr>
              <w:pStyle w:val="null3"/>
              <w:spacing w:before="105" w:after="105"/>
              <w:ind w:firstLine="480"/>
              <w:jc w:val="both"/>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spacing w:before="135" w:after="135"/>
              <w:ind w:firstLine="281"/>
              <w:jc w:val="both"/>
            </w:pPr>
            <w:r>
              <w:rPr>
                <w:rFonts w:ascii="仿宋_GB2312" w:hAnsi="仿宋_GB2312" w:cs="仿宋_GB2312" w:eastAsia="仿宋_GB2312"/>
              </w:rPr>
              <w:t xml:space="preserve"> </w:t>
            </w:r>
          </w:p>
          <w:p>
            <w:pPr>
              <w:pStyle w:val="null3"/>
              <w:spacing w:before="135" w:after="135"/>
              <w:ind w:firstLine="281"/>
              <w:jc w:val="both"/>
            </w:pPr>
            <w:r>
              <w:rPr>
                <w:rFonts w:ascii="仿宋_GB2312" w:hAnsi="仿宋_GB2312" w:cs="仿宋_GB2312" w:eastAsia="仿宋_GB2312"/>
                <w:sz w:val="28"/>
                <w:b/>
              </w:rPr>
              <w:t>三、技术要求</w:t>
            </w:r>
          </w:p>
          <w:p>
            <w:pPr>
              <w:pStyle w:val="null3"/>
              <w:spacing w:before="105" w:after="105"/>
              <w:ind w:firstLine="480"/>
              <w:jc w:val="both"/>
            </w:pPr>
            <w:r>
              <w:rPr>
                <w:rFonts w:ascii="仿宋_GB2312" w:hAnsi="仿宋_GB2312" w:cs="仿宋_GB2312" w:eastAsia="仿宋_GB2312"/>
                <w:sz w:val="24"/>
              </w:rPr>
              <w:t>1、供应商每次会议活动服务前必须提供详细的项目实施方案，包括整体及各部分的布局图、效果图、材料说明、投入的项目实施管理及技术人员、设备配置、承诺完成时间等，同时需附详细的材料及人员清单。</w:t>
            </w:r>
          </w:p>
          <w:p>
            <w:pPr>
              <w:pStyle w:val="null3"/>
              <w:spacing w:before="105" w:after="105"/>
              <w:ind w:firstLine="480"/>
              <w:jc w:val="both"/>
            </w:pPr>
            <w:r>
              <w:rPr>
                <w:rFonts w:ascii="仿宋_GB2312" w:hAnsi="仿宋_GB2312" w:cs="仿宋_GB2312" w:eastAsia="仿宋_GB2312"/>
                <w:sz w:val="24"/>
              </w:rPr>
              <w:t>2、如采购人要求供应商对有关设计方案进行修改和调整，供应商必须积极配合执行，方案必须经采购人确认后方可实施。</w:t>
            </w:r>
          </w:p>
          <w:p>
            <w:pPr>
              <w:pStyle w:val="null3"/>
              <w:spacing w:before="105" w:after="105"/>
              <w:ind w:firstLine="480"/>
              <w:jc w:val="both"/>
            </w:pPr>
            <w:r>
              <w:rPr>
                <w:rFonts w:ascii="仿宋_GB2312" w:hAnsi="仿宋_GB2312" w:cs="仿宋_GB2312" w:eastAsia="仿宋_GB2312"/>
                <w:sz w:val="24"/>
              </w:rPr>
              <w:t>3、各项目进行会议活动服务时，供应商应与采购人成立会议活动协调组，指派专人进行会议活动协调。</w:t>
            </w:r>
          </w:p>
          <w:p>
            <w:pPr>
              <w:pStyle w:val="null3"/>
              <w:jc w:val="both"/>
            </w:pP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spacing w:before="135" w:after="135"/>
              <w:jc w:val="both"/>
              <w:outlineLvl w:val="1"/>
            </w:pPr>
            <w:r>
              <w:rPr>
                <w:rFonts w:ascii="仿宋_GB2312" w:hAnsi="仿宋_GB2312" w:cs="仿宋_GB2312" w:eastAsia="仿宋_GB2312"/>
                <w:sz w:val="28"/>
                <w:b/>
              </w:rPr>
              <w:t>四、验收要求</w:t>
            </w:r>
          </w:p>
          <w:p>
            <w:pPr>
              <w:pStyle w:val="null3"/>
              <w:ind w:firstLine="480"/>
              <w:jc w:val="both"/>
            </w:pPr>
            <w:r>
              <w:rPr>
                <w:rFonts w:ascii="仿宋_GB2312" w:hAnsi="仿宋_GB2312" w:cs="仿宋_GB2312" w:eastAsia="仿宋_GB2312"/>
                <w:sz w:val="24"/>
              </w:rPr>
              <w:t>1、验收标准按照采购人认可的方案完成项目各方面的验收。</w:t>
            </w:r>
          </w:p>
          <w:p>
            <w:pPr>
              <w:pStyle w:val="null3"/>
              <w:ind w:firstLine="480"/>
              <w:jc w:val="both"/>
            </w:pPr>
            <w:r>
              <w:rPr>
                <w:rFonts w:ascii="仿宋_GB2312" w:hAnsi="仿宋_GB2312" w:cs="仿宋_GB2312" w:eastAsia="仿宋_GB2312"/>
                <w:sz w:val="24"/>
              </w:rPr>
              <w:t>2、项目完成后，供应商需准备项目实施中各个活动相关验收单等验收资料，包括项目详细方案文件、设计图、效果图、活动照片、现场录像光盘、宣传文字资料等相关资料作为验收的一部分。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一般会务服务验收。根据会务好的实际情况及西安市财政局、审计局等相关部门具体要求。此会务服务采购项目中西安市投资合作局作为项目采购方，对非大型会务活动进行自行验收，并做出初步验收结论。初步验收按照西安市投资合作局内控制度要求及《西安市市级单位政府采购合同履约验收单》所列内容，经供应商自检、采购单位验收小组验收等环节，会同供应商进行初步验收。主要对每次会务服务所提供的设备各项指标、承诺内容、会议完成情况、所达到效果、现场服务满意度调查等情况完成初验。</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）大型会务服务验收。对西安市人民政府所规定的大型会议活动，需组建专项验收工作小组，对单次活动的合同履约情况进行验收，并制定专门的验收方案，出具验收结论。</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项目整体验收。本项目结束后，采购代理机构受采购人委托组建验收工作小组对全年会务服务情况进行汇总，并依据已完成的单次会议的合同履约验收单、会议现场照片、音视频资料、媒体报道等佐证材料情况及质量，对整个项目的合同履约情况作出验收结论。</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spacing w:before="135" w:after="135"/>
              <w:jc w:val="both"/>
              <w:outlineLvl w:val="1"/>
            </w:pPr>
            <w:r>
              <w:rPr>
                <w:rFonts w:ascii="仿宋_GB2312" w:hAnsi="仿宋_GB2312" w:cs="仿宋_GB2312" w:eastAsia="仿宋_GB2312"/>
                <w:sz w:val="28"/>
                <w:b/>
              </w:rPr>
              <w:t>五、商务要求</w:t>
            </w:r>
          </w:p>
          <w:p>
            <w:pPr>
              <w:pStyle w:val="null3"/>
              <w:ind w:firstLine="480"/>
              <w:jc w:val="both"/>
            </w:pPr>
            <w:r>
              <w:rPr>
                <w:rFonts w:ascii="仿宋_GB2312" w:hAnsi="仿宋_GB2312" w:cs="仿宋_GB2312" w:eastAsia="仿宋_GB2312"/>
                <w:sz w:val="24"/>
              </w:rPr>
              <w:t>1、服务期：一年</w:t>
            </w:r>
            <w:r>
              <w:rPr>
                <w:rFonts w:ascii="仿宋_GB2312" w:hAnsi="仿宋_GB2312" w:cs="仿宋_GB2312" w:eastAsia="仿宋_GB2312"/>
                <w:sz w:val="24"/>
              </w:rPr>
              <w:t>，自</w:t>
            </w:r>
            <w:r>
              <w:rPr>
                <w:rFonts w:ascii="仿宋_GB2312" w:hAnsi="仿宋_GB2312" w:cs="仿宋_GB2312" w:eastAsia="仿宋_GB2312"/>
                <w:sz w:val="24"/>
              </w:rPr>
              <w:t>xxxx年xx月xx日起至xxxx年xx月xx日止。</w:t>
            </w:r>
          </w:p>
          <w:p>
            <w:pPr>
              <w:pStyle w:val="null3"/>
              <w:ind w:firstLine="480"/>
              <w:jc w:val="both"/>
            </w:pPr>
            <w:r>
              <w:rPr>
                <w:rFonts w:ascii="仿宋_GB2312" w:hAnsi="仿宋_GB2312" w:cs="仿宋_GB2312" w:eastAsia="仿宋_GB2312"/>
                <w:sz w:val="24"/>
              </w:rPr>
              <w:t>2、因供应商原因导致项目延迟或者影响项目质量，一切后果由供应商承担，采购人有权要求供应商赔偿因此对采购人造成的全部损失，并有权终止本合同。</w:t>
            </w:r>
          </w:p>
          <w:p>
            <w:pPr>
              <w:pStyle w:val="null3"/>
              <w:ind w:firstLine="480"/>
              <w:jc w:val="both"/>
            </w:pPr>
            <w:r>
              <w:rPr>
                <w:rFonts w:ascii="仿宋_GB2312" w:hAnsi="仿宋_GB2312" w:cs="仿宋_GB2312" w:eastAsia="仿宋_GB2312"/>
                <w:sz w:val="24"/>
              </w:rPr>
              <w:t>3、每次活动结束后，服务商提交会议活动服务的服务清单，采购人经过审核后，根据报价表所报价格，据实结算</w:t>
            </w:r>
            <w:r>
              <w:rPr>
                <w:rFonts w:ascii="仿宋_GB2312" w:hAnsi="仿宋_GB2312" w:cs="仿宋_GB2312" w:eastAsia="仿宋_GB2312"/>
                <w:sz w:val="24"/>
              </w:rPr>
              <w:t>，供应商须向采购人开具全额发票。</w:t>
            </w:r>
          </w:p>
          <w:p>
            <w:pPr>
              <w:pStyle w:val="null3"/>
              <w:ind w:firstLine="480"/>
              <w:jc w:val="both"/>
            </w:pPr>
            <w:r>
              <w:rPr>
                <w:rFonts w:ascii="仿宋_GB2312" w:hAnsi="仿宋_GB2312" w:cs="仿宋_GB2312" w:eastAsia="仿宋_GB2312"/>
                <w:sz w:val="24"/>
              </w:rPr>
              <w:t>4、自合同签订之日起，项目费用根据每次会务活动完成情况结算，结算时需向采购人提供正规发票。</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spacing w:before="135" w:after="135"/>
              <w:jc w:val="both"/>
              <w:outlineLvl w:val="1"/>
            </w:pPr>
            <w:r>
              <w:rPr>
                <w:rFonts w:ascii="仿宋_GB2312" w:hAnsi="仿宋_GB2312" w:cs="仿宋_GB2312" w:eastAsia="仿宋_GB2312"/>
                <w:sz w:val="28"/>
                <w:b/>
              </w:rPr>
              <w:t>六、其他</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对服务商的业绩要求</w:t>
            </w:r>
          </w:p>
          <w:p>
            <w:pPr>
              <w:pStyle w:val="null3"/>
              <w:ind w:firstLine="480"/>
              <w:jc w:val="both"/>
            </w:pPr>
            <w:r>
              <w:rPr>
                <w:rFonts w:ascii="仿宋_GB2312" w:hAnsi="仿宋_GB2312" w:cs="仿宋_GB2312" w:eastAsia="仿宋_GB2312"/>
                <w:sz w:val="24"/>
              </w:rPr>
              <w:t>202</w:t>
            </w:r>
            <w:r>
              <w:rPr>
                <w:rFonts w:ascii="仿宋_GB2312" w:hAnsi="仿宋_GB2312" w:cs="仿宋_GB2312" w:eastAsia="仿宋_GB2312"/>
                <w:sz w:val="24"/>
              </w:rPr>
              <w:t>2</w:t>
            </w:r>
            <w:r>
              <w:rPr>
                <w:rFonts w:ascii="仿宋_GB2312" w:hAnsi="仿宋_GB2312" w:cs="仿宋_GB2312" w:eastAsia="仿宋_GB2312"/>
                <w:sz w:val="24"/>
              </w:rPr>
              <w:t>年</w:t>
            </w:r>
            <w:r>
              <w:rPr>
                <w:rFonts w:ascii="仿宋_GB2312" w:hAnsi="仿宋_GB2312" w:cs="仿宋_GB2312" w:eastAsia="仿宋_GB2312"/>
                <w:sz w:val="24"/>
              </w:rPr>
              <w:t>1</w:t>
            </w:r>
            <w:r>
              <w:rPr>
                <w:rFonts w:ascii="仿宋_GB2312" w:hAnsi="仿宋_GB2312" w:cs="仿宋_GB2312" w:eastAsia="仿宋_GB2312"/>
                <w:sz w:val="24"/>
              </w:rPr>
              <w:t>月</w:t>
            </w:r>
            <w:r>
              <w:rPr>
                <w:rFonts w:ascii="仿宋_GB2312" w:hAnsi="仿宋_GB2312" w:cs="仿宋_GB2312" w:eastAsia="仿宋_GB2312"/>
                <w:sz w:val="24"/>
              </w:rPr>
              <w:t>1</w:t>
            </w:r>
            <w:r>
              <w:rPr>
                <w:rFonts w:ascii="仿宋_GB2312" w:hAnsi="仿宋_GB2312" w:cs="仿宋_GB2312" w:eastAsia="仿宋_GB2312"/>
                <w:sz w:val="24"/>
              </w:rPr>
              <w:t>日至今（以合同或协议签订日期为准），投标人具有类似项目业绩，每个业绩得</w:t>
            </w:r>
            <w:r>
              <w:rPr>
                <w:rFonts w:ascii="仿宋_GB2312" w:hAnsi="仿宋_GB2312" w:cs="仿宋_GB2312" w:eastAsia="仿宋_GB2312"/>
                <w:sz w:val="24"/>
              </w:rPr>
              <w:t>2</w:t>
            </w:r>
            <w:r>
              <w:rPr>
                <w:rFonts w:ascii="仿宋_GB2312" w:hAnsi="仿宋_GB2312" w:cs="仿宋_GB2312" w:eastAsia="仿宋_GB2312"/>
                <w:sz w:val="24"/>
              </w:rPr>
              <w:t>分，满分</w:t>
            </w:r>
            <w:r>
              <w:rPr>
                <w:rFonts w:ascii="仿宋_GB2312" w:hAnsi="仿宋_GB2312" w:cs="仿宋_GB2312" w:eastAsia="仿宋_GB2312"/>
                <w:sz w:val="24"/>
              </w:rPr>
              <w:t>10</w:t>
            </w:r>
            <w:r>
              <w:rPr>
                <w:rFonts w:ascii="仿宋_GB2312" w:hAnsi="仿宋_GB2312" w:cs="仿宋_GB2312" w:eastAsia="仿宋_GB2312"/>
                <w:sz w:val="24"/>
              </w:rPr>
              <w:t>分。（合同或协议复印件或成交</w:t>
            </w:r>
            <w:r>
              <w:rPr>
                <w:rFonts w:ascii="仿宋_GB2312" w:hAnsi="仿宋_GB2312" w:cs="仿宋_GB2312" w:eastAsia="仿宋_GB2312"/>
                <w:sz w:val="24"/>
              </w:rPr>
              <w:t>/</w:t>
            </w:r>
            <w:r>
              <w:rPr>
                <w:rFonts w:ascii="仿宋_GB2312" w:hAnsi="仿宋_GB2312" w:cs="仿宋_GB2312" w:eastAsia="仿宋_GB2312"/>
                <w:sz w:val="24"/>
              </w:rPr>
              <w:t>中标通知书加盖公章，附在响应文件中）。</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进度要求</w:t>
            </w:r>
          </w:p>
          <w:p>
            <w:pPr>
              <w:pStyle w:val="null3"/>
              <w:ind w:firstLine="480"/>
              <w:jc w:val="both"/>
            </w:pPr>
            <w:r>
              <w:rPr>
                <w:rFonts w:ascii="仿宋_GB2312" w:hAnsi="仿宋_GB2312" w:cs="仿宋_GB2312" w:eastAsia="仿宋_GB2312"/>
                <w:sz w:val="24"/>
              </w:rPr>
              <w:t>收到采购通知后</w:t>
            </w:r>
            <w:r>
              <w:rPr>
                <w:rFonts w:ascii="仿宋_GB2312" w:hAnsi="仿宋_GB2312" w:cs="仿宋_GB2312" w:eastAsia="仿宋_GB2312"/>
                <w:sz w:val="24"/>
              </w:rPr>
              <w:t>2个工作日内制定活动整体策展方案：根据活动的宗旨及形式要求，对整个活动整体策划，编制具体的布场方案并根据时间安排提出合理的工作计划。</w:t>
            </w:r>
          </w:p>
          <w:p>
            <w:pPr>
              <w:pStyle w:val="null3"/>
              <w:ind w:left="480"/>
              <w:jc w:val="both"/>
            </w:pPr>
            <w:r>
              <w:rPr>
                <w:rFonts w:ascii="仿宋_GB2312" w:hAnsi="仿宋_GB2312" w:cs="仿宋_GB2312" w:eastAsia="仿宋_GB2312"/>
                <w:sz w:val="24"/>
              </w:rPr>
              <w:t>3、</w:t>
            </w:r>
            <w:r>
              <w:rPr>
                <w:rFonts w:ascii="仿宋_GB2312" w:hAnsi="仿宋_GB2312" w:cs="仿宋_GB2312" w:eastAsia="仿宋_GB2312"/>
                <w:sz w:val="24"/>
              </w:rPr>
              <w:t>成果交付要求</w:t>
            </w:r>
          </w:p>
          <w:p>
            <w:pPr>
              <w:pStyle w:val="null3"/>
              <w:ind w:firstLine="480"/>
              <w:jc w:val="both"/>
            </w:pPr>
            <w:r>
              <w:rPr>
                <w:rFonts w:ascii="仿宋_GB2312" w:hAnsi="仿宋_GB2312" w:cs="仿宋_GB2312" w:eastAsia="仿宋_GB2312"/>
                <w:sz w:val="24"/>
              </w:rPr>
              <w:t>项目完成后，供应商需准备</w:t>
            </w:r>
            <w:r>
              <w:rPr>
                <w:rFonts w:ascii="仿宋_GB2312" w:hAnsi="仿宋_GB2312" w:cs="仿宋_GB2312" w:eastAsia="仿宋_GB2312"/>
                <w:sz w:val="24"/>
              </w:rPr>
              <w:t>5套项目验收资料，包括项目详细方案文件、设计图、效果图、活动照片、现场录像光盘、宣传文字资料等相关资料作为验收的一部分。</w:t>
            </w:r>
          </w:p>
          <w:p>
            <w:pPr>
              <w:pStyle w:val="null3"/>
              <w:ind w:left="480"/>
              <w:jc w:val="both"/>
            </w:pPr>
            <w:r>
              <w:rPr>
                <w:rFonts w:ascii="仿宋_GB2312" w:hAnsi="仿宋_GB2312" w:cs="仿宋_GB2312" w:eastAsia="仿宋_GB2312"/>
                <w:sz w:val="24"/>
              </w:rPr>
              <w:t>4、</w:t>
            </w:r>
            <w:r>
              <w:rPr>
                <w:rFonts w:ascii="仿宋_GB2312" w:hAnsi="仿宋_GB2312" w:cs="仿宋_GB2312" w:eastAsia="仿宋_GB2312"/>
                <w:sz w:val="24"/>
              </w:rPr>
              <w:t>质量验收标准或规范</w:t>
            </w:r>
          </w:p>
          <w:p>
            <w:pPr>
              <w:pStyle w:val="null3"/>
              <w:ind w:firstLine="480"/>
              <w:jc w:val="both"/>
            </w:pPr>
            <w:r>
              <w:rPr>
                <w:rFonts w:ascii="仿宋_GB2312" w:hAnsi="仿宋_GB2312" w:cs="仿宋_GB2312" w:eastAsia="仿宋_GB2312"/>
                <w:sz w:val="24"/>
              </w:rPr>
              <w:t>符合国家规范规定及行业质量验收标准。</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违约责任</w:t>
            </w:r>
          </w:p>
          <w:p>
            <w:pPr>
              <w:pStyle w:val="null3"/>
              <w:ind w:firstLine="480"/>
              <w:jc w:val="both"/>
            </w:pPr>
            <w:r>
              <w:rPr>
                <w:rFonts w:ascii="仿宋_GB2312" w:hAnsi="仿宋_GB2312" w:cs="仿宋_GB2312" w:eastAsia="仿宋_GB2312"/>
                <w:sz w:val="24"/>
              </w:rPr>
              <w:t>①按</w:t>
            </w:r>
            <w:r>
              <w:rPr>
                <w:rFonts w:ascii="仿宋_GB2312" w:hAnsi="仿宋_GB2312" w:cs="仿宋_GB2312" w:eastAsia="仿宋_GB2312"/>
                <w:sz w:val="24"/>
              </w:rPr>
              <w:t>《中华人民共和国民法典》合同编</w:t>
            </w:r>
            <w:r>
              <w:rPr>
                <w:rFonts w:ascii="仿宋_GB2312" w:hAnsi="仿宋_GB2312" w:cs="仿宋_GB2312" w:eastAsia="仿宋_GB2312"/>
                <w:sz w:val="24"/>
              </w:rPr>
              <w:t>、《中华人民共和国政府采购法》</w:t>
            </w:r>
            <w:r>
              <w:rPr>
                <w:rFonts w:ascii="仿宋_GB2312" w:hAnsi="仿宋_GB2312" w:cs="仿宋_GB2312" w:eastAsia="仿宋_GB2312"/>
                <w:sz w:val="24"/>
              </w:rPr>
              <w:t>中的相关条款执行；</w:t>
            </w:r>
          </w:p>
          <w:p>
            <w:pPr>
              <w:pStyle w:val="null3"/>
              <w:ind w:firstLine="480"/>
              <w:jc w:val="both"/>
            </w:pPr>
            <w:r>
              <w:rPr>
                <w:rFonts w:ascii="仿宋_GB2312" w:hAnsi="仿宋_GB2312" w:cs="仿宋_GB2312" w:eastAsia="仿宋_GB2312"/>
                <w:sz w:val="24"/>
              </w:rPr>
              <w:t>②未按</w:t>
            </w:r>
            <w:r>
              <w:rPr>
                <w:rFonts w:ascii="仿宋_GB2312" w:hAnsi="仿宋_GB2312" w:cs="仿宋_GB2312" w:eastAsia="仿宋_GB2312"/>
                <w:sz w:val="24"/>
              </w:rPr>
              <w:t>合同要求提供服务或服务不能满足合同要求，采购人应当将服务商违约的情况以及拟采取的措施以书面形式报政府采购监管部门，根据政府采购监管部门的处理意见，采购人有权依据《中华人民共和国民法典》合同编有关条款及合同约定终止合同，并要求服务商承担违约责任。同时，政府采购监管部门有权依据《政府采购法》及相关法律法规对服务商的违法行为进行相应的处罚。</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供应商根据采购需求配备相关人员。</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供应商根据采购需求配备相关设施设备。</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一年，自xxxx年xx月xx日起至xxxx年xx月xx日止。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符合国家规范规定及行业质量验收标准。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按季度付款</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按季度付款</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按季度付款</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按季度付款</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①按《中华人民共和国民法典》合同编、《中华人民共和国政府采购法》中的相关条款执行； ②未按合同要求提供服务或服务不能满足合同要求，采购人应当将服务商违约的情况以及拟采取的措施以书面形式报政府采购监管部门，根据政府采购监管部门的处理意见，采购人有权依据《中华人民共和国民法典》合同编有关条款及合同约定终止合同，并要求服务商承担违约责任。同时，政府采购监管部门有权依据《政府采购法》及相关法律法规对服务商的违法行为进行相应的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投标函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提供法定代表人授权书（附法定代表人、被授权人身份证复印件），法定代表人直接参加，须提供法定代表人身份证明（附法定代表人身份证复印件、法人签字或盖章、加盖公章）；</w:t>
            </w:r>
          </w:p>
        </w:tc>
        <w:tc>
          <w:tcPr>
            <w:tcW w:type="dxa" w:w="1661"/>
          </w:tcPr>
          <w:p>
            <w:pPr>
              <w:pStyle w:val="null3"/>
            </w:pPr>
            <w:r>
              <w:rPr>
                <w:rFonts w:ascii="仿宋_GB2312" w:hAnsi="仿宋_GB2312" w:cs="仿宋_GB2312" w:eastAsia="仿宋_GB2312"/>
              </w:rPr>
              <w:t>法定代表人身份证明及委托书.docx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的财务审计报告（至少包括资产负债表和利润表，成立时间至提交投标文件截止时间不足一年的可提供成立后任意时段的资产负债表）；或其开标前半年内基本存款账户开户银行出具的资信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提供投标截止日前一年内已缴纳的至少一个月的纳税证明或完税证明(任意税种)，依法免税的单位应提供相关证明材料;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提供投标截止日前一年内已缴纳的至少一个月的社会保障资金缴存单据或社保机构开具的社会保险参保缴费情况证明，依法不需要缴纳社会保障资金的单位应提供相关证明材料;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本项目为专门面向中小企业采购（提供中小企业声明函或监狱企业的证明文件或残疾人福利性单位声明函）；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政府采购严重违法失信行为记录名单中被财政部门禁止参加政府采购活动的供应商（采购代理机构查询时限为响应文件递交截止之日）；</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不接受联合体投标</w:t>
            </w:r>
          </w:p>
        </w:tc>
        <w:tc>
          <w:tcPr>
            <w:tcW w:type="dxa" w:w="3322"/>
          </w:tcPr>
          <w:p>
            <w:pPr>
              <w:pStyle w:val="null3"/>
            </w:pPr>
            <w:r>
              <w:rPr>
                <w:rFonts w:ascii="仿宋_GB2312" w:hAnsi="仿宋_GB2312" w:cs="仿宋_GB2312" w:eastAsia="仿宋_GB2312"/>
              </w:rPr>
              <w:t>本项目不接受联合体投标（提供承诺书）；</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是否超出预算或最高限价</w:t>
            </w:r>
          </w:p>
        </w:tc>
        <w:tc>
          <w:tcPr>
            <w:tcW w:type="dxa" w:w="3322"/>
          </w:tcPr>
          <w:p>
            <w:pPr>
              <w:pStyle w:val="null3"/>
            </w:pPr>
            <w:r>
              <w:rPr>
                <w:rFonts w:ascii="仿宋_GB2312" w:hAnsi="仿宋_GB2312" w:cs="仿宋_GB2312" w:eastAsia="仿宋_GB2312"/>
              </w:rPr>
              <w:t>投标人投标报价未超出采购预算或最高限价</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投标文件的响应程度</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数量要求符合</w:t>
            </w:r>
          </w:p>
        </w:tc>
        <w:tc>
          <w:tcPr>
            <w:tcW w:type="dxa" w:w="3322"/>
          </w:tcPr>
          <w:p>
            <w:pPr>
              <w:pStyle w:val="null3"/>
            </w:pPr>
            <w:r>
              <w:rPr>
                <w:rFonts w:ascii="仿宋_GB2312" w:hAnsi="仿宋_GB2312" w:cs="仿宋_GB2312" w:eastAsia="仿宋_GB2312"/>
              </w:rPr>
              <w:t>投标内容没有出现漏项或数量与要求不符或投标内容的技术指标达不到招标文件要求，没有造成采购档次降低或影响采购性能、功能。</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活动整体策划</w:t>
            </w:r>
          </w:p>
        </w:tc>
        <w:tc>
          <w:tcPr>
            <w:tcW w:type="dxa" w:w="2492"/>
          </w:tcPr>
          <w:p>
            <w:pPr>
              <w:pStyle w:val="null3"/>
            </w:pPr>
            <w:r>
              <w:rPr>
                <w:rFonts w:ascii="仿宋_GB2312" w:hAnsi="仿宋_GB2312" w:cs="仿宋_GB2312" w:eastAsia="仿宋_GB2312"/>
              </w:rPr>
              <w:t>根据活动的主旨及形式要求，对整个活动整体策划，编制具体的布展方案及各部分的布局图、效果图并根据时间安排提出合理的工作计划。具体服务内容包括：1.LED屏幕及配套设备；2.音响的配置；3.会场灯光的配置；4.同传及翻译服务；5.摄像、摄影服务；6.设计、印刷服务；7.会场布置服务；8.会议活动工作内容①各项方案详细、内容全面、安排合理，计11.1-20分； ②总体方案有1项缺项，计7.1-11分； ③总体方案有2项缺项，计3.1-7分； ④总体方案3项或以上缺漏，内容简略的，计1.1-3分； ⑤未提供本项不计分。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设备材料投入计划</w:t>
            </w:r>
          </w:p>
        </w:tc>
        <w:tc>
          <w:tcPr>
            <w:tcW w:type="dxa" w:w="2492"/>
          </w:tcPr>
          <w:p>
            <w:pPr>
              <w:pStyle w:val="null3"/>
            </w:pPr>
            <w:r>
              <w:rPr>
                <w:rFonts w:ascii="仿宋_GB2312" w:hAnsi="仿宋_GB2312" w:cs="仿宋_GB2312" w:eastAsia="仿宋_GB2312"/>
              </w:rPr>
              <w:t>供应商在服务期内配备设备材料清单，根据会议规模进行物品增减。包括材料说明、投入的项目设备配置等。 ①设备材料配备齐全，质量可靠，充分满足服务需求，有备品备件，计10.1-15分；②设备材料配备有缺项，满足服务需求，内容完整度一般、安全可行计5.1-10分； C.设备材料配备紧张，有缺项基本满足服务需求内容完整度较差、不可行计1.1-5分；④未提供不得分。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针对项目执行团队人员配置情况进行评分：具有专业的执行团队项目实施管理及技术人员，安排专人现场协调对接落实活动各项具体事宜，提供人员证明材料（不限于毕业证或学历证等相关证明材料复印件）。 ①团队架构完善，人员安排合理，相关证明文件齐全，完全符合项目要求，计7.1-10分； ②团队人员配置不明确、搭配不合理，相关证明文件有欠缺、不齐全，计3.1-7分； ③方案内容、人员配备严重欠缺，无法满足项目需求得1.1-3分； ④未提供不得分。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安全应急预案</w:t>
            </w:r>
          </w:p>
        </w:tc>
        <w:tc>
          <w:tcPr>
            <w:tcW w:type="dxa" w:w="2492"/>
          </w:tcPr>
          <w:p>
            <w:pPr>
              <w:pStyle w:val="null3"/>
            </w:pPr>
            <w:r>
              <w:rPr>
                <w:rFonts w:ascii="仿宋_GB2312" w:hAnsi="仿宋_GB2312" w:cs="仿宋_GB2312" w:eastAsia="仿宋_GB2312"/>
              </w:rPr>
              <w:t>制定合理、可行的各种突发情况（包含现场秩序调节、停电、断网、所提供的设备及材料出现质量问题等）的安全应急预案。 ①应急预案内容完善，应对措施全面、可行性强、考虑充分，计5.1-10分； ②应急预案内容基本完善，应对措施有一定可行性，考虑不足，计1.1-5分； ③未提供的不计分。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质量、进度保证方案</w:t>
            </w:r>
          </w:p>
        </w:tc>
        <w:tc>
          <w:tcPr>
            <w:tcW w:type="dxa" w:w="2492"/>
          </w:tcPr>
          <w:p>
            <w:pPr>
              <w:pStyle w:val="null3"/>
            </w:pPr>
            <w:r>
              <w:rPr>
                <w:rFonts w:ascii="仿宋_GB2312" w:hAnsi="仿宋_GB2312" w:cs="仿宋_GB2312" w:eastAsia="仿宋_GB2312"/>
              </w:rPr>
              <w:t>提供针对本项目的服务质量、进度保证方案（包括：健全的质量控制体系、针对本项目的服务质量、进度把控方案、质量保证措施，并有质量进度目标无法实现时的认罚承诺等，包括但不限于活动现场治安、消防、观众进退场等）。 ①方案措施详尽，完全满足采购人需求，能够保证服务质量，及时协调解决各类问题，计7.1-10分；②方案措施较全，基本满足采购人需求，保证服务质量，基本能协调解决各类问题，计3.1-7分； ③方案措施简略，部分满足采购人需求，保证服务质量，及协调解决各类问题的能力不强，计1.1-3 分； ④未提供相关内容的不得分。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对本项目工作内容的认识理解程度（包括整体项目需求、每项服务需求等）： ①对本项目理解深刻，分析正确、合理，计7.1-10分； ②对本项目基本理解，分析基本正确、合理，计3.1-7分； ③对本项目理解一般，重点、难点分析不全面，计1.1-3分； ④未提供相关内容的不得分。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针对本项目有明确的服务承诺，严格按照相关技术规范和标准提供服务。根据服务承诺明确、合理程度得1-5分。未提供不得分。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2022年1月1日至今（以合同或协议签订日期为准），投标人具有类似项目业绩，每个业绩得2分，满分10分。（合同或协议复印件或成交/中标通知书加盖公章，附在响应文件中）。</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1、经初审合格的投标文件，其投标报价为有效投标报价。 2、满足招标文件实质性要求且最终报价最低的投标人的价格为投标基准价，其价格分为满分10分。 3、投标报价得分＝（投标基准价／最终投标报价）x10。 4、投标报价不完整的，不进入投标基准价的计算，本项得0分。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详见附件：法定代表人身份证明及委托书.docx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