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firstLine="560" w:firstLineChars="200"/>
        <w:jc w:val="left"/>
        <w:textAlignment w:val="auto"/>
        <w:rPr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甲方：（采购人）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乙方：（成交单位名称）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>为全面贯彻落实共青团中央、全国少工委2022年4月28日下发的中青联发【2022】4号《青少年宫管理工作条例》文件精神，进一步提高对青少年思想政治引领能力和服务水平，主动送资源到基层，打造服务城乡社区校外教育阵地，更好地为社区青少年服务，根据《中华人民共和国民法典》及有关法律法规的规定，甲、乙双方在平等、自愿、公平和诚实信用的基础上，经协商一致，就乙方将承租甲方的“西荷美食商业街”项目南区3#4#5#楼的场地交由甲方使用，共同打造“西何社区青少年宫”等事宜，订立本协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一、场地及设备基本情况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将位于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西安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市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碑林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区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西何家村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  <w:u w:val="single"/>
        </w:rPr>
        <w:t>路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的“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西荷美食商业街”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项目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南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区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3#4#5#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商业楼地上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三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层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303#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12#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商业楼地上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三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层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304#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交由乙方使用，作为“西何社区青少年宫”的活动场地。场地总面积为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3420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平方米（包含公摊面积，场地平面位置图见协议附表一）。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该场地现有装修、附属设施、配套设施、设备状况和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方自行装修和增设附属设施的内容、标准及需约定的有关事宜，在本协议附表二中加以列明，作为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方交付该场地和本协议终止时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方返还该场地的验收依据。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声明其在签署本协议前已经现场视察、测量过该场地，了解该场地现有装修、附属设施、配套设施、设备等各项与其实现合作目的有关的重要因素（包括但不限于该场地所处区域位置、相邻方经营业态、公用设施设备使用情况、周边环境因素、水电能源费及物业费收取标准等）的状况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方亦就上述状况向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方进行真实、详细披露和解释说明。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保证该场地消防设施、设备符合我国法律法规及相关政策标准的验收规范，并取得《消防验收合格证》。如若不能，因此产生的包括但不限于被行政机关要求整改、处罚或因消防不合格而产生的任何相关责任，均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方负责，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方对此不承担任何责任。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方应每月对消防设施、设备进行维保，并提供每年不少于一次的消防设施设备检测。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二、场地用途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方承诺，该场地作为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“西安市青少年宫西何校区”教学活动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使用，未征得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方书面同意，不擅自改变上述约定的使用用途。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方不得干涉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方的正常教学活动，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方如进入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方公共区域应遵循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方的管理制度，爱护公共设施。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方如开展大型活动，需提前一周通知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方应积极配合协调相关工作。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为支持西何社区公益工作，该场地在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非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甲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方教学活动时间内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可作为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社区公益性活动场地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方可辅助社区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开展各类公益活动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，实现主动送资源到基层，更好地为社区居民服务。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三、场地交付日期和使用期限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场地使用期限自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202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>5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日起至</w:t>
      </w:r>
      <w:r>
        <w:rPr>
          <w:rFonts w:ascii="仿宋" w:hAnsi="仿宋" w:eastAsia="仿宋" w:cs="??_GB2312"/>
          <w:b/>
          <w:color w:val="auto"/>
          <w:spacing w:val="6"/>
          <w:sz w:val="28"/>
          <w:szCs w:val="28"/>
          <w:u w:val="single"/>
        </w:rPr>
        <w:t xml:space="preserve"> 202</w:t>
      </w:r>
      <w:r>
        <w:rPr>
          <w:rFonts w:hint="eastAsia" w:ascii="仿宋" w:hAnsi="仿宋" w:eastAsia="仿宋" w:cs="??_GB2312"/>
          <w:b/>
          <w:color w:val="auto"/>
          <w:spacing w:val="6"/>
          <w:sz w:val="28"/>
          <w:szCs w:val="28"/>
          <w:u w:val="single"/>
        </w:rPr>
        <w:t>5</w:t>
      </w:r>
      <w:r>
        <w:rPr>
          <w:rFonts w:ascii="仿宋" w:hAnsi="仿宋" w:eastAsia="仿宋" w:cs="??_GB2312"/>
          <w:b/>
          <w:color w:val="auto"/>
          <w:spacing w:val="6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日止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方承诺，在本协议约定的使用期内，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方拥有该场地的实际经营权与转租权，有权将场地交给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使用期满，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方有权收回该场地，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方应于协议到期后15日内返还。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如需继续对外出租该场地的</w:t>
      </w:r>
      <w:bookmarkStart w:id="0" w:name="_GoBack"/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，应提前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一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个月通知</w:t>
      </w:r>
      <w:bookmarkEnd w:id="0"/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方，在同等条件下，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方享有该场地的优先承租权，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方应于使用期届满前</w:t>
      </w:r>
      <w:r>
        <w:rPr>
          <w:rFonts w:hint="eastAsia" w:ascii="仿宋" w:hAnsi="仿宋" w:eastAsia="仿宋" w:cs="??_GB2312"/>
          <w:color w:val="auto"/>
          <w:sz w:val="28"/>
          <w:szCs w:val="28"/>
          <w:u w:val="single"/>
          <w:lang w:eastAsia="zh-CN"/>
        </w:rPr>
        <w:t>一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个月，向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方提出书面要求，经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方同意后重新签订场地使用协议。合同期满，如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方不再续租，应提前一个月以书面形式告知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四、场地使用费支付方式和期限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该场地月度使用费标准为：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元</w:t>
      </w:r>
      <w:r>
        <w:rPr>
          <w:rFonts w:ascii="仿宋" w:hAnsi="仿宋" w:eastAsia="仿宋" w:cs="??_GB2312"/>
          <w:color w:val="auto"/>
          <w:sz w:val="28"/>
          <w:szCs w:val="28"/>
        </w:rPr>
        <w:t>/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平米，每月合计为：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￥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元</w:t>
      </w:r>
      <w:r>
        <w:rPr>
          <w:rFonts w:ascii="仿宋" w:hAnsi="仿宋" w:eastAsia="仿宋" w:cs="??_GB2312"/>
          <w:b/>
          <w:bCs/>
          <w:color w:val="auto"/>
          <w:sz w:val="28"/>
          <w:szCs w:val="28"/>
          <w:u w:val="single"/>
        </w:rPr>
        <w:t xml:space="preserve"> (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人民币大写：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??_GB2312"/>
          <w:b/>
          <w:bCs/>
          <w:color w:val="auto"/>
          <w:sz w:val="28"/>
          <w:szCs w:val="28"/>
          <w:u w:val="single"/>
        </w:rPr>
        <w:t>)</w:t>
      </w:r>
      <w:r>
        <w:rPr>
          <w:rFonts w:hint="eastAsia" w:ascii="仿宋" w:hAnsi="仿宋" w:eastAsia="仿宋" w:cs="??_GB2312"/>
          <w:bCs/>
          <w:color w:val="auto"/>
          <w:sz w:val="28"/>
          <w:szCs w:val="28"/>
        </w:rPr>
        <w:t>，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该费用包含税金。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方支付场地使用费的方式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如下：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highlight w:val="none"/>
          <w:u w:val="single"/>
        </w:rPr>
        <w:t>以转账方式按提前</w:t>
      </w:r>
      <w:r>
        <w:rPr>
          <w:rFonts w:ascii="仿宋" w:hAnsi="仿宋" w:eastAsia="仿宋" w:cs="??_GB2312"/>
          <w:b/>
          <w:bCs/>
          <w:color w:val="auto"/>
          <w:sz w:val="28"/>
          <w:szCs w:val="28"/>
          <w:highlight w:val="none"/>
          <w:u w:val="single"/>
        </w:rPr>
        <w:t>5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highlight w:val="none"/>
          <w:u w:val="single"/>
        </w:rPr>
        <w:t>个工作日交付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，但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方需提前开具品类与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金额相符的增值税发票。如因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方未开具发票或市财政审批预算程序等原因导致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方付款延迟，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方不承担责任。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方指定的收款账户为：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户名：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开户行：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??_GB2312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账号：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五、其它费用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方负责该场地的设计、装修、改造、设备投入及后期的物业管理、垃圾清运等相关服务，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方无需缴纳物业管理、垃圾清运等相关费用。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方提供电源、水源，并负责为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方单独安装计量表，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方按季度交纳电费、水费，交纳标准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</w:rPr>
        <w:t>为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水费：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元</w:t>
      </w:r>
      <w:r>
        <w:rPr>
          <w:rFonts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/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吨，电费：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元</w:t>
      </w:r>
      <w:r>
        <w:rPr>
          <w:rFonts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/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度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六、场地及设施设备的使用及责任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方发现该场地及其附属设施、配套设施设备非因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方原因造成的或因场地及其设施固有的瑕疵、缺陷或故障时，应及时通知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方修复，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方应在接到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方通知后的</w:t>
      </w:r>
      <w:r>
        <w:rPr>
          <w:rFonts w:ascii="仿宋" w:hAnsi="仿宋" w:eastAsia="仿宋" w:cs="??_GB2312"/>
          <w:color w:val="auto"/>
          <w:sz w:val="28"/>
          <w:szCs w:val="28"/>
        </w:rPr>
        <w:t>3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日内进行维修，紧急情况下应即刻安排维修。逾期不维修的，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方可代为维修，费用由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方应合理使用并爱护该场地及其附属设施。因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方使用不当或不合理使用，致使该场地及其附属设施、配套设施设备损坏或发生故障或引发失火、渗水、漏水、漏气等事故并造成损失的，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方应负责维修并赔偿。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方拒不维修，为避免损失扩大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方可代为维修，费用由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方另需装修或者增设附属设施和设备的，应事先征得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方的书面同意，按规定须向有关部门审批的，则还应由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方报请有关部门批准后，方可进行。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方增设的附属设施和设备归属及其维修责任由甲、乙双方另行书面约定。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方应合理使用并爱护场地及场地内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方提供的附属设施、配套设施设备，避免受到人为破坏。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七、场地及设备的返还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除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方继续使用外，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方应在本协议的使用期届满后的15日内返还该场地，未经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方同意逾期返还场地及设备的，每逾期一日，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方应按协议约定的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场地使用费标准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方支付该场地及设备超期占用使用费。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方返还该场地及设备应当符合正常使用的状态。返还时，应经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方验收认可，并相互结清各自应当承担的费用后办理统一移交手续。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方返还该场地及设备不符合正常使用状态的，由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方负责修复，若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方拒绝修复，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方有权自行修复，修复费用由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八、分租、转租、合租、转让和出售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方在使用期内，事先未经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方的书面同意，不得将该场地部分或全部分租、转租、合租、转让给他人。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在使用期内，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方如需出售该场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地，应提前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一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个月通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双方。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的出售行为不得影响本协议的正常履行。若因出售给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双方造成损失的，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方应当承担赔偿责任。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九、解除本协议的条件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在使用期内，有下列情形之一的，本协议终止，各方之间互不承担责任：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政府对该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场地占用范围内的土地使用权依法提前收回的；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场地因社会公共利益或城市建设需要被依法征用的；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场地毁损、灭失或者被鉴定为危险房屋的；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由于政策性因素导致乙方不能继续使用的；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甲、乙双方经协商一致，提前终止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协议履行的。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甲、乙双方约定，有下列情形之一的，一方可书面通知另一方依法解除本协议。违反协议的一方，应向另一方按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u w:val="single"/>
        </w:rPr>
        <w:t>月度场地使用费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支付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违约金；给对方造成损失的，支付的违约金不足抵付一方损失的，还应赔偿造成的损失与违约金的差额部分：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方未按时交付该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场地及设备，经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书面催告后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30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日内仍未交付的；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方交付的该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场地及设备不符合本协议的约定，致使不能实现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方目的；或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方交付的场地及设备存在缺陷，危及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方安全的；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方未征得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方书面同意改变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场地及设备用途的，或致使场地及设备损坏的；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因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方原因造成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场地及设备主体结构损坏的；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未经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方书面同意，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方擅自将该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场地分租、转租、合租、转让该场地承租权或与他人交换各自承租的场地的；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在本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协议约定使用期内，该场地实际经营人非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方或经营用途非本协议约定之用途；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方在具备支付条件的前提下逾期不支付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场地使用费累计超过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15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日的；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在合作期内，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方未能通过合法有效的渠道解决分歧，擅自采取过激、违法行为的，并给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方及“西荷美食商业街”整体声誉及形象造成影响和损失的；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一方不履行或不充分履行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协议义务，致守约方缔约目的不能实现的其它情形。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十、违约责任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该场地及设备交付时存在缺陷的，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方应积极配合并给予修复，逾期不修复的，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方同意给予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方提供减免场地使用费的优惠措施，优惠范围不得低于造成损失的价值，且不影响违约责任的承担。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使用期间，非本协议规定的情况，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方擅自解除本协议，提前收回该场地及设备的，应按提前收回天数的场地使用费的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双倍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方支付违约金。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方未征得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方书面同意或者超出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方书面同意的范围和要求装修场地或者增设附属设施的，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方可以要求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对场地恢复原状，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甲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方拒绝恢复的，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乙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方有权选择本协议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7-3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或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9-2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的约定追究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甲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方责任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十一、其它条款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本协议未尽事宜，经甲、乙方协商一致，可订立补充协议。本协议补充条款及附件均为本协议不可分割的一部分。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履行本协议过程中如发生纠纷，甲、乙方应通过协商解决；协商解决不成的，任何一方可依法向该场地所在地人民法院起诉，因此产生的诉讼费、保全费、保函费、公告费、律师费、差旅费等由违约方承担。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本协议一式</w:t>
      </w: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份，甲方执</w:t>
      </w: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份，乙方执</w:t>
      </w: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份，均具有同等效力。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本协议经甲、乙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双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方签字或盖章后生效。</w:t>
      </w:r>
    </w:p>
    <w:p>
      <w:pPr>
        <w:keepNext w:val="0"/>
        <w:keepLines w:val="0"/>
        <w:pageBreakBefore w:val="0"/>
        <w:widowControl w:val="0"/>
        <w:tabs>
          <w:tab w:val="left" w:pos="96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96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</w:rPr>
        <w:t>附件：</w:t>
      </w:r>
      <w:r>
        <w:rPr>
          <w:rFonts w:ascii="仿宋" w:hAnsi="仿宋" w:eastAsia="仿宋" w:cs="??_GB2312"/>
          <w:color w:val="auto"/>
          <w:sz w:val="28"/>
          <w:szCs w:val="28"/>
        </w:rPr>
        <w:t>1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、场地平面示意图</w:t>
      </w:r>
    </w:p>
    <w:p>
      <w:pPr>
        <w:keepNext w:val="0"/>
        <w:keepLines w:val="0"/>
        <w:pageBreakBefore w:val="0"/>
        <w:widowControl w:val="0"/>
        <w:tabs>
          <w:tab w:val="left" w:pos="96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ascii="仿宋" w:hAnsi="仿宋" w:eastAsia="仿宋" w:cs="??_GB2312"/>
          <w:color w:val="auto"/>
          <w:sz w:val="28"/>
          <w:szCs w:val="28"/>
        </w:rPr>
        <w:t>2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、场地设施及设备交接单</w:t>
      </w:r>
    </w:p>
    <w:p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6"/>
          <w:szCs w:val="24"/>
          <w:lang w:eastAsia="zh-CN"/>
        </w:rPr>
      </w:pPr>
    </w:p>
    <w:p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6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br w:type="page"/>
      </w:r>
    </w:p>
    <w:p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>甲方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（盖章）：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             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乙方（盖章）：</w:t>
      </w:r>
    </w:p>
    <w:p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-6"/>
          <w:sz w:val="28"/>
          <w:szCs w:val="28"/>
          <w:u w:val="single"/>
          <w:lang w:eastAsia="zh-CN"/>
        </w:rPr>
      </w:pPr>
    </w:p>
    <w:p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负责人（签字）：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       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>法定代表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人（签字）：</w:t>
      </w:r>
    </w:p>
    <w:p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-6"/>
          <w:sz w:val="28"/>
          <w:szCs w:val="28"/>
        </w:rPr>
      </w:pPr>
    </w:p>
    <w:p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Cs w:val="24"/>
          <w:lang w:eastAsia="zh-CN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签约时间：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日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签约时间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日</w:t>
      </w:r>
    </w:p>
    <w:p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Cs w:val="24"/>
        </w:rPr>
      </w:pPr>
    </w:p>
    <w:p>
      <w:pPr>
        <w:spacing w:line="360" w:lineRule="auto"/>
        <w:jc w:val="both"/>
        <w:rPr>
          <w:rFonts w:ascii="仿宋" w:hAnsi="仿宋" w:eastAsia="仿宋"/>
          <w:b/>
          <w:color w:val="auto"/>
          <w:sz w:val="28"/>
          <w:u w:val="single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28"/>
          <w:szCs w:val="28"/>
        </w:rPr>
        <w:t>附表一</w:t>
      </w: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color w:val="auto"/>
          <w:sz w:val="28"/>
          <w:szCs w:val="28"/>
          <w:u w:val="single"/>
        </w:rPr>
        <w:t>（南区</w:t>
      </w:r>
      <w:r>
        <w:rPr>
          <w:rFonts w:ascii="仿宋" w:hAnsi="仿宋" w:eastAsia="仿宋"/>
          <w:b/>
          <w:color w:val="auto"/>
          <w:sz w:val="28"/>
          <w:szCs w:val="28"/>
          <w:u w:val="single"/>
        </w:rPr>
        <w:t>3#4#5#</w:t>
      </w:r>
      <w:r>
        <w:rPr>
          <w:rFonts w:hint="eastAsia" w:ascii="仿宋" w:hAnsi="仿宋" w:eastAsia="仿宋"/>
          <w:b/>
          <w:color w:val="auto"/>
          <w:sz w:val="28"/>
          <w:szCs w:val="28"/>
          <w:u w:val="single"/>
        </w:rPr>
        <w:t>楼三层</w:t>
      </w:r>
      <w:r>
        <w:rPr>
          <w:rFonts w:ascii="仿宋" w:hAnsi="仿宋" w:eastAsia="仿宋"/>
          <w:b/>
          <w:color w:val="auto"/>
          <w:sz w:val="28"/>
          <w:szCs w:val="28"/>
          <w:u w:val="single"/>
        </w:rPr>
        <w:t>303#</w:t>
      </w:r>
      <w:r>
        <w:rPr>
          <w:rFonts w:hint="eastAsia" w:ascii="仿宋" w:hAnsi="仿宋" w:eastAsia="仿宋"/>
          <w:b/>
          <w:color w:val="auto"/>
          <w:sz w:val="28"/>
          <w:szCs w:val="28"/>
          <w:u w:val="single"/>
        </w:rPr>
        <w:t>场地平面示意图）</w:t>
      </w:r>
    </w:p>
    <w:p>
      <w:pPr>
        <w:pStyle w:val="22"/>
        <w:spacing w:line="240" w:lineRule="auto"/>
        <w:jc w:val="center"/>
        <w:rPr>
          <w:rFonts w:ascii="仿宋" w:hAnsi="仿宋" w:eastAsia="仿宋"/>
          <w:b/>
          <w:color w:val="auto"/>
          <w:sz w:val="21"/>
          <w:szCs w:val="21"/>
          <w:lang w:eastAsia="zh-CN"/>
        </w:rPr>
      </w:pPr>
      <w:r>
        <w:rPr>
          <w:rFonts w:ascii="仿宋" w:hAnsi="仿宋" w:eastAsia="仿宋"/>
          <w:b/>
          <w:color w:val="auto"/>
          <w:sz w:val="21"/>
          <w:szCs w:val="21"/>
          <w:lang w:eastAsia="zh-CN"/>
        </w:rPr>
        <w:drawing>
          <wp:inline distT="0" distB="0" distL="114300" distR="114300">
            <wp:extent cx="3009900" cy="8298180"/>
            <wp:effectExtent l="0" t="0" r="0" b="7620"/>
            <wp:docPr id="1" name="图片 1" descr="3#4#5#楼三层平面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#4#5#楼三层平面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82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spacing w:line="360" w:lineRule="auto"/>
        <w:jc w:val="center"/>
        <w:rPr>
          <w:rFonts w:ascii="仿宋" w:hAnsi="仿宋" w:eastAsia="仿宋"/>
          <w:b/>
          <w:color w:val="auto"/>
          <w:spacing w:val="6"/>
          <w:sz w:val="40"/>
          <w:lang w:eastAsia="zh-CN"/>
        </w:rPr>
      </w:pPr>
    </w:p>
    <w:p>
      <w:pPr>
        <w:pStyle w:val="22"/>
        <w:spacing w:line="360" w:lineRule="auto"/>
        <w:jc w:val="center"/>
        <w:rPr>
          <w:rFonts w:ascii="仿宋" w:hAnsi="仿宋" w:eastAsia="仿宋"/>
          <w:b/>
          <w:color w:val="auto"/>
          <w:spacing w:val="6"/>
          <w:sz w:val="40"/>
          <w:lang w:eastAsia="zh-CN"/>
        </w:rPr>
      </w:pPr>
      <w:r>
        <w:rPr>
          <w:rFonts w:ascii="仿宋" w:hAnsi="仿宋" w:eastAsia="仿宋"/>
          <w:b/>
          <w:color w:val="auto"/>
          <w:spacing w:val="6"/>
          <w:sz w:val="40"/>
          <w:lang w:eastAsia="zh-CN"/>
        </w:rPr>
        <w:drawing>
          <wp:inline distT="0" distB="0" distL="114300" distR="114300">
            <wp:extent cx="5311140" cy="7772400"/>
            <wp:effectExtent l="0" t="0" r="3810" b="0"/>
            <wp:docPr id="2" name="图片 2" descr="304chang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04changdi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spacing w:line="360" w:lineRule="auto"/>
        <w:jc w:val="center"/>
        <w:rPr>
          <w:rFonts w:ascii="仿宋" w:hAnsi="仿宋" w:eastAsia="仿宋"/>
          <w:b/>
          <w:color w:val="auto"/>
          <w:spacing w:val="6"/>
          <w:sz w:val="40"/>
          <w:lang w:eastAsia="zh-CN"/>
        </w:rPr>
      </w:pPr>
    </w:p>
    <w:p>
      <w:pPr>
        <w:pStyle w:val="22"/>
        <w:spacing w:line="360" w:lineRule="auto"/>
        <w:ind w:left="0" w:leftChars="0" w:firstLine="0" w:firstLineChars="0"/>
        <w:jc w:val="both"/>
        <w:rPr>
          <w:rFonts w:ascii="仿宋" w:hAnsi="仿宋" w:eastAsia="仿宋"/>
          <w:b/>
          <w:color w:val="auto"/>
          <w:spacing w:val="6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pacing w:val="6"/>
          <w:sz w:val="28"/>
          <w:szCs w:val="28"/>
          <w:lang w:eastAsia="zh-CN"/>
        </w:rPr>
        <w:t>附</w:t>
      </w:r>
      <w:r>
        <w:rPr>
          <w:rFonts w:ascii="仿宋" w:hAnsi="仿宋" w:eastAsia="仿宋"/>
          <w:b/>
          <w:color w:val="auto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auto"/>
          <w:spacing w:val="6"/>
          <w:sz w:val="28"/>
          <w:szCs w:val="28"/>
          <w:lang w:eastAsia="zh-CN"/>
        </w:rPr>
        <w:t>表</w:t>
      </w:r>
      <w:r>
        <w:rPr>
          <w:rFonts w:ascii="仿宋" w:hAnsi="仿宋" w:eastAsia="仿宋"/>
          <w:b/>
          <w:color w:val="auto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auto"/>
          <w:spacing w:val="6"/>
          <w:sz w:val="28"/>
          <w:szCs w:val="28"/>
          <w:lang w:eastAsia="zh-CN"/>
        </w:rPr>
        <w:t>二</w:t>
      </w:r>
    </w:p>
    <w:p>
      <w:pPr>
        <w:pStyle w:val="22"/>
        <w:spacing w:line="360" w:lineRule="auto"/>
        <w:jc w:val="center"/>
        <w:rPr>
          <w:rFonts w:ascii="仿宋" w:hAnsi="仿宋" w:eastAsia="仿宋"/>
          <w:b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eastAsia="zh-CN"/>
        </w:rPr>
        <w:t>现有装修、附属设施、配套设施及设备状况和乙方同意甲方自行</w:t>
      </w:r>
    </w:p>
    <w:p>
      <w:pPr>
        <w:pStyle w:val="22"/>
        <w:spacing w:line="360" w:lineRule="auto"/>
        <w:jc w:val="center"/>
        <w:rPr>
          <w:rFonts w:ascii="仿宋" w:hAnsi="仿宋" w:eastAsia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eastAsia="zh-CN"/>
        </w:rPr>
        <w:t>装修和增设附属设施及设备约定及交接确认</w:t>
      </w:r>
      <w:r>
        <w:rPr>
          <w:rFonts w:ascii="仿宋" w:hAnsi="仿宋" w:eastAsia="仿宋"/>
          <w:color w:val="auto"/>
          <w:sz w:val="24"/>
          <w:szCs w:val="24"/>
          <w:lang w:eastAsia="zh-CN"/>
        </w:rPr>
        <w:t>--------------------------------------------------</w:t>
      </w:r>
    </w:p>
    <w:p>
      <w:pPr>
        <w:jc w:val="center"/>
        <w:rPr>
          <w:rFonts w:ascii="仿宋" w:hAnsi="仿宋" w:eastAsia="仿宋"/>
          <w:color w:val="auto"/>
          <w:sz w:val="24"/>
          <w:szCs w:val="24"/>
        </w:rPr>
      </w:pPr>
      <w:r>
        <w:rPr>
          <w:rFonts w:ascii="仿宋" w:hAnsi="仿宋" w:eastAsia="仿宋"/>
          <w:color w:val="auto"/>
          <w:sz w:val="24"/>
          <w:szCs w:val="24"/>
        </w:rPr>
        <w:t>(</w:t>
      </w:r>
      <w:r>
        <w:rPr>
          <w:rFonts w:hint="eastAsia" w:ascii="仿宋" w:hAnsi="仿宋" w:eastAsia="仿宋"/>
          <w:color w:val="auto"/>
          <w:sz w:val="24"/>
          <w:szCs w:val="24"/>
        </w:rPr>
        <w:t>加盖公章处</w:t>
      </w:r>
      <w:r>
        <w:rPr>
          <w:rFonts w:ascii="仿宋" w:hAnsi="仿宋" w:eastAsia="仿宋"/>
          <w:color w:val="auto"/>
          <w:sz w:val="24"/>
          <w:szCs w:val="24"/>
        </w:rPr>
        <w:t>)</w:t>
      </w:r>
    </w:p>
    <w:p>
      <w:pPr>
        <w:jc w:val="center"/>
        <w:rPr>
          <w:rFonts w:ascii="仿宋" w:hAnsi="仿宋" w:eastAsia="仿宋"/>
          <w:color w:val="auto"/>
          <w:sz w:val="24"/>
          <w:szCs w:val="24"/>
        </w:rPr>
      </w:pPr>
    </w:p>
    <w:tbl>
      <w:tblPr>
        <w:tblStyle w:val="9"/>
        <w:tblW w:w="51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882"/>
        <w:gridCol w:w="882"/>
        <w:gridCol w:w="882"/>
        <w:gridCol w:w="882"/>
        <w:gridCol w:w="882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shd w:val="clear" w:color="auto" w:fill="D9D9D9"/>
            <w:noWrap/>
            <w:vAlign w:val="center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位置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状态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位置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状态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ascii="仿宋" w:hAnsi="仿宋" w:eastAsia="仿宋"/>
          <w:color w:val="auto"/>
          <w:sz w:val="24"/>
          <w:szCs w:val="24"/>
        </w:rPr>
      </w:pPr>
    </w:p>
    <w:p>
      <w:pPr>
        <w:pStyle w:val="22"/>
        <w:spacing w:line="480" w:lineRule="auto"/>
        <w:rPr>
          <w:rFonts w:ascii="仿宋" w:hAnsi="仿宋" w:eastAsia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检验时间：</w:t>
      </w:r>
    </w:p>
    <w:p>
      <w:pPr>
        <w:pStyle w:val="22"/>
        <w:spacing w:line="480" w:lineRule="auto"/>
        <w:rPr>
          <w:rFonts w:ascii="仿宋" w:hAnsi="仿宋" w:eastAsia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交接人：</w:t>
      </w:r>
    </w:p>
    <w:p>
      <w:pPr>
        <w:spacing w:line="460" w:lineRule="exact"/>
        <w:ind w:firstLine="482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交接时间：</w:t>
      </w:r>
    </w:p>
    <w:sectPr>
      <w:footerReference r:id="rId3" w:type="default"/>
      <w:footerReference r:id="rId4" w:type="even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F1E9594-5C2A-4DDD-934F-F020C50DE6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F1EB783-D993-4BBD-9744-7E83D0582C9C}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5843288"/>
    </w:sdtPr>
    <w:sdtContent>
      <w:p>
        <w:pPr>
          <w:pStyle w:val="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1735505"/>
    </w:sdtPr>
    <w:sdtContent>
      <w:p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192A26"/>
    <w:multiLevelType w:val="singleLevel"/>
    <w:tmpl w:val="18192A26"/>
    <w:lvl w:ilvl="0" w:tentative="0">
      <w:start w:val="1"/>
      <w:numFmt w:val="taiwaneseCountingThousand"/>
      <w:lvlText w:val="(%1)"/>
      <w:lvlJc w:val="left"/>
      <w:pPr>
        <w:tabs>
          <w:tab w:val="left" w:pos="1365"/>
        </w:tabs>
        <w:ind w:left="1365" w:hanging="405"/>
      </w:pPr>
      <w:rPr>
        <w:rFonts w:hint="eastAsia" w:cs="Times New Roman"/>
      </w:rPr>
    </w:lvl>
  </w:abstractNum>
  <w:abstractNum w:abstractNumId="1">
    <w:nsid w:val="5A682144"/>
    <w:multiLevelType w:val="singleLevel"/>
    <w:tmpl w:val="5A682144"/>
    <w:lvl w:ilvl="0" w:tentative="0">
      <w:start w:val="1"/>
      <w:numFmt w:val="taiwaneseCountingThousand"/>
      <w:lvlText w:val="(%1)"/>
      <w:lvlJc w:val="left"/>
      <w:pPr>
        <w:tabs>
          <w:tab w:val="left" w:pos="1365"/>
        </w:tabs>
        <w:ind w:left="1365" w:hanging="405"/>
      </w:pPr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31511DCC"/>
    <w:rsid w:val="00002E2A"/>
    <w:rsid w:val="000076F8"/>
    <w:rsid w:val="000144B1"/>
    <w:rsid w:val="00022D96"/>
    <w:rsid w:val="00025569"/>
    <w:rsid w:val="00025EAB"/>
    <w:rsid w:val="00026575"/>
    <w:rsid w:val="00030A51"/>
    <w:rsid w:val="00036080"/>
    <w:rsid w:val="0004365F"/>
    <w:rsid w:val="00043B47"/>
    <w:rsid w:val="000440FB"/>
    <w:rsid w:val="00047AAE"/>
    <w:rsid w:val="00050CCA"/>
    <w:rsid w:val="00052328"/>
    <w:rsid w:val="00061D55"/>
    <w:rsid w:val="00071439"/>
    <w:rsid w:val="000832C3"/>
    <w:rsid w:val="0008788D"/>
    <w:rsid w:val="00087AEB"/>
    <w:rsid w:val="000A01F6"/>
    <w:rsid w:val="000A71D9"/>
    <w:rsid w:val="000A7DEC"/>
    <w:rsid w:val="000B4AB0"/>
    <w:rsid w:val="000C6406"/>
    <w:rsid w:val="000C73FC"/>
    <w:rsid w:val="000D482E"/>
    <w:rsid w:val="000D7529"/>
    <w:rsid w:val="000E2238"/>
    <w:rsid w:val="000E3549"/>
    <w:rsid w:val="000F6406"/>
    <w:rsid w:val="000F758A"/>
    <w:rsid w:val="00101C55"/>
    <w:rsid w:val="001038D8"/>
    <w:rsid w:val="00104D03"/>
    <w:rsid w:val="00116073"/>
    <w:rsid w:val="0012101D"/>
    <w:rsid w:val="001256C8"/>
    <w:rsid w:val="0013158E"/>
    <w:rsid w:val="00133D89"/>
    <w:rsid w:val="001463F3"/>
    <w:rsid w:val="00147B8C"/>
    <w:rsid w:val="00151AA4"/>
    <w:rsid w:val="00153070"/>
    <w:rsid w:val="001575D4"/>
    <w:rsid w:val="00175C97"/>
    <w:rsid w:val="00184D6F"/>
    <w:rsid w:val="00191D28"/>
    <w:rsid w:val="00191FA6"/>
    <w:rsid w:val="0019215E"/>
    <w:rsid w:val="00194429"/>
    <w:rsid w:val="00194C01"/>
    <w:rsid w:val="001A3A95"/>
    <w:rsid w:val="001A60CA"/>
    <w:rsid w:val="001A6880"/>
    <w:rsid w:val="001B1884"/>
    <w:rsid w:val="001B2E56"/>
    <w:rsid w:val="001B3889"/>
    <w:rsid w:val="001B3ADD"/>
    <w:rsid w:val="001B6674"/>
    <w:rsid w:val="001C070D"/>
    <w:rsid w:val="001C6EA7"/>
    <w:rsid w:val="001D28DA"/>
    <w:rsid w:val="001E3C36"/>
    <w:rsid w:val="001F1BAC"/>
    <w:rsid w:val="001F6D13"/>
    <w:rsid w:val="0020529F"/>
    <w:rsid w:val="00207F90"/>
    <w:rsid w:val="002116FB"/>
    <w:rsid w:val="00216B7E"/>
    <w:rsid w:val="00246D4C"/>
    <w:rsid w:val="00252ACD"/>
    <w:rsid w:val="00253281"/>
    <w:rsid w:val="00253DFB"/>
    <w:rsid w:val="00264123"/>
    <w:rsid w:val="0026765F"/>
    <w:rsid w:val="002762EE"/>
    <w:rsid w:val="0027688F"/>
    <w:rsid w:val="0028499C"/>
    <w:rsid w:val="00285A91"/>
    <w:rsid w:val="002947D1"/>
    <w:rsid w:val="00294EE3"/>
    <w:rsid w:val="0029580E"/>
    <w:rsid w:val="00296A1E"/>
    <w:rsid w:val="002A0ADD"/>
    <w:rsid w:val="002A4644"/>
    <w:rsid w:val="002A76D7"/>
    <w:rsid w:val="002A7F02"/>
    <w:rsid w:val="002B2109"/>
    <w:rsid w:val="002B6A51"/>
    <w:rsid w:val="002B79F5"/>
    <w:rsid w:val="002C582E"/>
    <w:rsid w:val="002C6570"/>
    <w:rsid w:val="002C73E9"/>
    <w:rsid w:val="002D09E2"/>
    <w:rsid w:val="002D610E"/>
    <w:rsid w:val="002D6EAC"/>
    <w:rsid w:val="002E4CC5"/>
    <w:rsid w:val="002F18A1"/>
    <w:rsid w:val="002F28D6"/>
    <w:rsid w:val="002F7D38"/>
    <w:rsid w:val="0030133D"/>
    <w:rsid w:val="00302532"/>
    <w:rsid w:val="00302C60"/>
    <w:rsid w:val="00304EED"/>
    <w:rsid w:val="003057D8"/>
    <w:rsid w:val="00306EBD"/>
    <w:rsid w:val="00314697"/>
    <w:rsid w:val="00315240"/>
    <w:rsid w:val="00320C67"/>
    <w:rsid w:val="00324407"/>
    <w:rsid w:val="00326744"/>
    <w:rsid w:val="003274D7"/>
    <w:rsid w:val="00330084"/>
    <w:rsid w:val="00333969"/>
    <w:rsid w:val="00340056"/>
    <w:rsid w:val="00342A27"/>
    <w:rsid w:val="0034742F"/>
    <w:rsid w:val="0034780E"/>
    <w:rsid w:val="00350A71"/>
    <w:rsid w:val="00353345"/>
    <w:rsid w:val="00360329"/>
    <w:rsid w:val="00361122"/>
    <w:rsid w:val="00366E46"/>
    <w:rsid w:val="00375661"/>
    <w:rsid w:val="00380001"/>
    <w:rsid w:val="00393AD8"/>
    <w:rsid w:val="0039585B"/>
    <w:rsid w:val="00396C81"/>
    <w:rsid w:val="003B0760"/>
    <w:rsid w:val="003B16FD"/>
    <w:rsid w:val="003B1F51"/>
    <w:rsid w:val="003B32FD"/>
    <w:rsid w:val="003B53BD"/>
    <w:rsid w:val="003B7226"/>
    <w:rsid w:val="003C1B73"/>
    <w:rsid w:val="003C3F94"/>
    <w:rsid w:val="003C46E4"/>
    <w:rsid w:val="003C4C90"/>
    <w:rsid w:val="003C577B"/>
    <w:rsid w:val="003D103B"/>
    <w:rsid w:val="003D126A"/>
    <w:rsid w:val="003D3C25"/>
    <w:rsid w:val="003D42D8"/>
    <w:rsid w:val="003D6642"/>
    <w:rsid w:val="003E1D83"/>
    <w:rsid w:val="003E2C72"/>
    <w:rsid w:val="003E5CBA"/>
    <w:rsid w:val="003F0EC8"/>
    <w:rsid w:val="00404F2E"/>
    <w:rsid w:val="00405B30"/>
    <w:rsid w:val="00406D46"/>
    <w:rsid w:val="00415E6F"/>
    <w:rsid w:val="00422A34"/>
    <w:rsid w:val="004264B7"/>
    <w:rsid w:val="0043045E"/>
    <w:rsid w:val="00432412"/>
    <w:rsid w:val="00433497"/>
    <w:rsid w:val="00434597"/>
    <w:rsid w:val="0044020E"/>
    <w:rsid w:val="00440289"/>
    <w:rsid w:val="00451294"/>
    <w:rsid w:val="00453326"/>
    <w:rsid w:val="00465C99"/>
    <w:rsid w:val="00470F00"/>
    <w:rsid w:val="00480230"/>
    <w:rsid w:val="00486EC1"/>
    <w:rsid w:val="0049291D"/>
    <w:rsid w:val="00492930"/>
    <w:rsid w:val="00494FBA"/>
    <w:rsid w:val="004A08D7"/>
    <w:rsid w:val="004A2C3F"/>
    <w:rsid w:val="004B627F"/>
    <w:rsid w:val="004D06F9"/>
    <w:rsid w:val="004D1B8F"/>
    <w:rsid w:val="004D1F3A"/>
    <w:rsid w:val="004D1FAC"/>
    <w:rsid w:val="004D2E5A"/>
    <w:rsid w:val="004F041A"/>
    <w:rsid w:val="004F6C88"/>
    <w:rsid w:val="004F7AA3"/>
    <w:rsid w:val="00500AE6"/>
    <w:rsid w:val="005021E4"/>
    <w:rsid w:val="00504EBE"/>
    <w:rsid w:val="00510665"/>
    <w:rsid w:val="0051294C"/>
    <w:rsid w:val="0051710D"/>
    <w:rsid w:val="0052039A"/>
    <w:rsid w:val="00520922"/>
    <w:rsid w:val="00521E3C"/>
    <w:rsid w:val="00525F8B"/>
    <w:rsid w:val="0053034B"/>
    <w:rsid w:val="00540356"/>
    <w:rsid w:val="00540BBC"/>
    <w:rsid w:val="00545193"/>
    <w:rsid w:val="00547D30"/>
    <w:rsid w:val="00554FB0"/>
    <w:rsid w:val="00557CD6"/>
    <w:rsid w:val="005617F7"/>
    <w:rsid w:val="00570D6F"/>
    <w:rsid w:val="00581C07"/>
    <w:rsid w:val="00584119"/>
    <w:rsid w:val="00592368"/>
    <w:rsid w:val="005A2608"/>
    <w:rsid w:val="005A2884"/>
    <w:rsid w:val="005A4021"/>
    <w:rsid w:val="005B0F08"/>
    <w:rsid w:val="005B4381"/>
    <w:rsid w:val="005B6E3C"/>
    <w:rsid w:val="005C55F7"/>
    <w:rsid w:val="005C5D39"/>
    <w:rsid w:val="005D33B9"/>
    <w:rsid w:val="005E1A0C"/>
    <w:rsid w:val="005E3B9C"/>
    <w:rsid w:val="005F1783"/>
    <w:rsid w:val="005F49FD"/>
    <w:rsid w:val="006112F4"/>
    <w:rsid w:val="00611DEC"/>
    <w:rsid w:val="0061670A"/>
    <w:rsid w:val="0062154E"/>
    <w:rsid w:val="00624C16"/>
    <w:rsid w:val="00635DF0"/>
    <w:rsid w:val="00640348"/>
    <w:rsid w:val="006421F6"/>
    <w:rsid w:val="0065010A"/>
    <w:rsid w:val="0065382D"/>
    <w:rsid w:val="006600D9"/>
    <w:rsid w:val="00660678"/>
    <w:rsid w:val="00663D7C"/>
    <w:rsid w:val="0066508A"/>
    <w:rsid w:val="0066729F"/>
    <w:rsid w:val="00667361"/>
    <w:rsid w:val="00684CEB"/>
    <w:rsid w:val="006956A8"/>
    <w:rsid w:val="006A2060"/>
    <w:rsid w:val="006A29C4"/>
    <w:rsid w:val="006A2A2F"/>
    <w:rsid w:val="006C69BB"/>
    <w:rsid w:val="006D0C74"/>
    <w:rsid w:val="006D170A"/>
    <w:rsid w:val="006D4549"/>
    <w:rsid w:val="006E466D"/>
    <w:rsid w:val="006F06D6"/>
    <w:rsid w:val="006F07D0"/>
    <w:rsid w:val="006F0A8C"/>
    <w:rsid w:val="00702E96"/>
    <w:rsid w:val="0070619E"/>
    <w:rsid w:val="0071131D"/>
    <w:rsid w:val="00711BCF"/>
    <w:rsid w:val="00712EE1"/>
    <w:rsid w:val="00715A9E"/>
    <w:rsid w:val="00716CBF"/>
    <w:rsid w:val="00736A9B"/>
    <w:rsid w:val="00740ED9"/>
    <w:rsid w:val="00743FD9"/>
    <w:rsid w:val="00746D2C"/>
    <w:rsid w:val="00750672"/>
    <w:rsid w:val="00756678"/>
    <w:rsid w:val="00756B5F"/>
    <w:rsid w:val="007571F5"/>
    <w:rsid w:val="007573DA"/>
    <w:rsid w:val="00762DA2"/>
    <w:rsid w:val="00766AD3"/>
    <w:rsid w:val="007724B1"/>
    <w:rsid w:val="0077448A"/>
    <w:rsid w:val="007752BE"/>
    <w:rsid w:val="00777BA8"/>
    <w:rsid w:val="007812BF"/>
    <w:rsid w:val="00781D0B"/>
    <w:rsid w:val="00786126"/>
    <w:rsid w:val="00786D08"/>
    <w:rsid w:val="00786EEF"/>
    <w:rsid w:val="007910D4"/>
    <w:rsid w:val="007958E0"/>
    <w:rsid w:val="00796C6A"/>
    <w:rsid w:val="00797421"/>
    <w:rsid w:val="007A25BF"/>
    <w:rsid w:val="007A5B72"/>
    <w:rsid w:val="007B4803"/>
    <w:rsid w:val="007C2295"/>
    <w:rsid w:val="007D103D"/>
    <w:rsid w:val="007D252C"/>
    <w:rsid w:val="007D2B18"/>
    <w:rsid w:val="007D593E"/>
    <w:rsid w:val="007D5C4F"/>
    <w:rsid w:val="007E001E"/>
    <w:rsid w:val="007F089F"/>
    <w:rsid w:val="007F7D5A"/>
    <w:rsid w:val="00806850"/>
    <w:rsid w:val="0080695A"/>
    <w:rsid w:val="00817141"/>
    <w:rsid w:val="00820D0B"/>
    <w:rsid w:val="00823CFC"/>
    <w:rsid w:val="008250C5"/>
    <w:rsid w:val="0083207A"/>
    <w:rsid w:val="00837C39"/>
    <w:rsid w:val="00843941"/>
    <w:rsid w:val="008449A7"/>
    <w:rsid w:val="00846CD2"/>
    <w:rsid w:val="00863CA6"/>
    <w:rsid w:val="00866BE8"/>
    <w:rsid w:val="00872E1D"/>
    <w:rsid w:val="0087546C"/>
    <w:rsid w:val="00876D70"/>
    <w:rsid w:val="00890ACE"/>
    <w:rsid w:val="008926B1"/>
    <w:rsid w:val="008950C0"/>
    <w:rsid w:val="008973FB"/>
    <w:rsid w:val="008A3F64"/>
    <w:rsid w:val="008A6D2C"/>
    <w:rsid w:val="008B7D94"/>
    <w:rsid w:val="008C40C3"/>
    <w:rsid w:val="008D0613"/>
    <w:rsid w:val="008D465F"/>
    <w:rsid w:val="008D5906"/>
    <w:rsid w:val="008D67AB"/>
    <w:rsid w:val="008E3397"/>
    <w:rsid w:val="008E4C6D"/>
    <w:rsid w:val="008E62A0"/>
    <w:rsid w:val="008F131A"/>
    <w:rsid w:val="008F1396"/>
    <w:rsid w:val="008F26A0"/>
    <w:rsid w:val="008F3E07"/>
    <w:rsid w:val="008F737D"/>
    <w:rsid w:val="009006D8"/>
    <w:rsid w:val="00901873"/>
    <w:rsid w:val="0090244D"/>
    <w:rsid w:val="00904BDE"/>
    <w:rsid w:val="00906457"/>
    <w:rsid w:val="00911F24"/>
    <w:rsid w:val="00912883"/>
    <w:rsid w:val="00912BCC"/>
    <w:rsid w:val="009142EC"/>
    <w:rsid w:val="009203FC"/>
    <w:rsid w:val="009315A4"/>
    <w:rsid w:val="00932F03"/>
    <w:rsid w:val="009332CB"/>
    <w:rsid w:val="00934C42"/>
    <w:rsid w:val="00942AB9"/>
    <w:rsid w:val="009456C3"/>
    <w:rsid w:val="00946584"/>
    <w:rsid w:val="00950AE2"/>
    <w:rsid w:val="0095191D"/>
    <w:rsid w:val="00967A33"/>
    <w:rsid w:val="0097446C"/>
    <w:rsid w:val="00975E8E"/>
    <w:rsid w:val="00977AF8"/>
    <w:rsid w:val="00980B64"/>
    <w:rsid w:val="00984EC9"/>
    <w:rsid w:val="0098728C"/>
    <w:rsid w:val="009B3CA3"/>
    <w:rsid w:val="009B6738"/>
    <w:rsid w:val="009C19FB"/>
    <w:rsid w:val="009C5D2D"/>
    <w:rsid w:val="009D0EA8"/>
    <w:rsid w:val="009D17AD"/>
    <w:rsid w:val="009D2A04"/>
    <w:rsid w:val="009E2ECF"/>
    <w:rsid w:val="009E68D6"/>
    <w:rsid w:val="009F32BF"/>
    <w:rsid w:val="009F4BE6"/>
    <w:rsid w:val="00A002DB"/>
    <w:rsid w:val="00A01D3A"/>
    <w:rsid w:val="00A050F9"/>
    <w:rsid w:val="00A07A0E"/>
    <w:rsid w:val="00A07CB2"/>
    <w:rsid w:val="00A14117"/>
    <w:rsid w:val="00A15FA3"/>
    <w:rsid w:val="00A17049"/>
    <w:rsid w:val="00A2353B"/>
    <w:rsid w:val="00A25412"/>
    <w:rsid w:val="00A30461"/>
    <w:rsid w:val="00A31BEE"/>
    <w:rsid w:val="00A42BE5"/>
    <w:rsid w:val="00A462B3"/>
    <w:rsid w:val="00A67F9A"/>
    <w:rsid w:val="00A72AD2"/>
    <w:rsid w:val="00A75A34"/>
    <w:rsid w:val="00A804FE"/>
    <w:rsid w:val="00A81616"/>
    <w:rsid w:val="00A84538"/>
    <w:rsid w:val="00A84627"/>
    <w:rsid w:val="00A866C6"/>
    <w:rsid w:val="00A91258"/>
    <w:rsid w:val="00A93C11"/>
    <w:rsid w:val="00A9676B"/>
    <w:rsid w:val="00AB0AE5"/>
    <w:rsid w:val="00AB35A5"/>
    <w:rsid w:val="00AB7162"/>
    <w:rsid w:val="00AC51B3"/>
    <w:rsid w:val="00AC51B8"/>
    <w:rsid w:val="00AD233F"/>
    <w:rsid w:val="00AD287C"/>
    <w:rsid w:val="00AE0ED9"/>
    <w:rsid w:val="00AE29AB"/>
    <w:rsid w:val="00AE4524"/>
    <w:rsid w:val="00AE65CD"/>
    <w:rsid w:val="00AF14B2"/>
    <w:rsid w:val="00AF2CB2"/>
    <w:rsid w:val="00AF3F5A"/>
    <w:rsid w:val="00AF419D"/>
    <w:rsid w:val="00B000E4"/>
    <w:rsid w:val="00B000F1"/>
    <w:rsid w:val="00B1102D"/>
    <w:rsid w:val="00B11426"/>
    <w:rsid w:val="00B16D79"/>
    <w:rsid w:val="00B20013"/>
    <w:rsid w:val="00B3004F"/>
    <w:rsid w:val="00B31782"/>
    <w:rsid w:val="00B34E4E"/>
    <w:rsid w:val="00B35184"/>
    <w:rsid w:val="00B409E6"/>
    <w:rsid w:val="00B429D1"/>
    <w:rsid w:val="00B468A3"/>
    <w:rsid w:val="00B55A8D"/>
    <w:rsid w:val="00B71068"/>
    <w:rsid w:val="00B75026"/>
    <w:rsid w:val="00B82311"/>
    <w:rsid w:val="00B845B7"/>
    <w:rsid w:val="00B84674"/>
    <w:rsid w:val="00B84820"/>
    <w:rsid w:val="00B94040"/>
    <w:rsid w:val="00B950A9"/>
    <w:rsid w:val="00BA2E9E"/>
    <w:rsid w:val="00BA6804"/>
    <w:rsid w:val="00BB0FE3"/>
    <w:rsid w:val="00BB2C08"/>
    <w:rsid w:val="00BB7ED8"/>
    <w:rsid w:val="00BC1381"/>
    <w:rsid w:val="00BC1E2B"/>
    <w:rsid w:val="00BC3E50"/>
    <w:rsid w:val="00BC43D2"/>
    <w:rsid w:val="00BC5213"/>
    <w:rsid w:val="00BD148E"/>
    <w:rsid w:val="00BD3A66"/>
    <w:rsid w:val="00BD4C28"/>
    <w:rsid w:val="00BE0D09"/>
    <w:rsid w:val="00BE34E4"/>
    <w:rsid w:val="00BE356C"/>
    <w:rsid w:val="00BF1CE9"/>
    <w:rsid w:val="00C26B2C"/>
    <w:rsid w:val="00C3022A"/>
    <w:rsid w:val="00C30909"/>
    <w:rsid w:val="00C3660C"/>
    <w:rsid w:val="00C472A1"/>
    <w:rsid w:val="00C50153"/>
    <w:rsid w:val="00C72505"/>
    <w:rsid w:val="00C81E68"/>
    <w:rsid w:val="00C84A75"/>
    <w:rsid w:val="00C8742A"/>
    <w:rsid w:val="00C92744"/>
    <w:rsid w:val="00C93FCE"/>
    <w:rsid w:val="00C95153"/>
    <w:rsid w:val="00CB04F0"/>
    <w:rsid w:val="00CB5214"/>
    <w:rsid w:val="00CB63B5"/>
    <w:rsid w:val="00CC425D"/>
    <w:rsid w:val="00CD1A5E"/>
    <w:rsid w:val="00CD5094"/>
    <w:rsid w:val="00CD716C"/>
    <w:rsid w:val="00CD7952"/>
    <w:rsid w:val="00CE1776"/>
    <w:rsid w:val="00CE29A4"/>
    <w:rsid w:val="00CF5947"/>
    <w:rsid w:val="00D01C60"/>
    <w:rsid w:val="00D040D4"/>
    <w:rsid w:val="00D14EC8"/>
    <w:rsid w:val="00D169A8"/>
    <w:rsid w:val="00D23DB2"/>
    <w:rsid w:val="00D25A14"/>
    <w:rsid w:val="00D35D05"/>
    <w:rsid w:val="00D5307D"/>
    <w:rsid w:val="00D62BA4"/>
    <w:rsid w:val="00D6336D"/>
    <w:rsid w:val="00D641F0"/>
    <w:rsid w:val="00D657F0"/>
    <w:rsid w:val="00D65B6F"/>
    <w:rsid w:val="00D66500"/>
    <w:rsid w:val="00D706C5"/>
    <w:rsid w:val="00D751CA"/>
    <w:rsid w:val="00D83E52"/>
    <w:rsid w:val="00D872CD"/>
    <w:rsid w:val="00D91015"/>
    <w:rsid w:val="00D96607"/>
    <w:rsid w:val="00DA2E73"/>
    <w:rsid w:val="00DA402C"/>
    <w:rsid w:val="00DB0FF1"/>
    <w:rsid w:val="00DB54D0"/>
    <w:rsid w:val="00DB74A8"/>
    <w:rsid w:val="00DC02A6"/>
    <w:rsid w:val="00DC1212"/>
    <w:rsid w:val="00DC7330"/>
    <w:rsid w:val="00DD0BCD"/>
    <w:rsid w:val="00DD10C4"/>
    <w:rsid w:val="00E10CCA"/>
    <w:rsid w:val="00E120BC"/>
    <w:rsid w:val="00E1750A"/>
    <w:rsid w:val="00E206C7"/>
    <w:rsid w:val="00E2485A"/>
    <w:rsid w:val="00E32C9D"/>
    <w:rsid w:val="00E343B9"/>
    <w:rsid w:val="00E464D4"/>
    <w:rsid w:val="00E47846"/>
    <w:rsid w:val="00E55013"/>
    <w:rsid w:val="00E616AC"/>
    <w:rsid w:val="00E61E3D"/>
    <w:rsid w:val="00E61F57"/>
    <w:rsid w:val="00E662C7"/>
    <w:rsid w:val="00E67804"/>
    <w:rsid w:val="00E67E65"/>
    <w:rsid w:val="00E72327"/>
    <w:rsid w:val="00E90A5D"/>
    <w:rsid w:val="00EA2962"/>
    <w:rsid w:val="00EA3C43"/>
    <w:rsid w:val="00EB2CFA"/>
    <w:rsid w:val="00EB4572"/>
    <w:rsid w:val="00EB4D86"/>
    <w:rsid w:val="00EC1373"/>
    <w:rsid w:val="00EC3261"/>
    <w:rsid w:val="00EC37C8"/>
    <w:rsid w:val="00EC3DDB"/>
    <w:rsid w:val="00EC7020"/>
    <w:rsid w:val="00ED0075"/>
    <w:rsid w:val="00EE58C3"/>
    <w:rsid w:val="00EE6B35"/>
    <w:rsid w:val="00EF452E"/>
    <w:rsid w:val="00EF71D9"/>
    <w:rsid w:val="00F00558"/>
    <w:rsid w:val="00F0293E"/>
    <w:rsid w:val="00F06994"/>
    <w:rsid w:val="00F12BF5"/>
    <w:rsid w:val="00F13205"/>
    <w:rsid w:val="00F13829"/>
    <w:rsid w:val="00F15959"/>
    <w:rsid w:val="00F1637E"/>
    <w:rsid w:val="00F16FA0"/>
    <w:rsid w:val="00F177FC"/>
    <w:rsid w:val="00F207E7"/>
    <w:rsid w:val="00F2489B"/>
    <w:rsid w:val="00F36D0F"/>
    <w:rsid w:val="00F37B4A"/>
    <w:rsid w:val="00F401A4"/>
    <w:rsid w:val="00F477A3"/>
    <w:rsid w:val="00F52117"/>
    <w:rsid w:val="00F63A34"/>
    <w:rsid w:val="00F64FC1"/>
    <w:rsid w:val="00F7308C"/>
    <w:rsid w:val="00F742BF"/>
    <w:rsid w:val="00F75719"/>
    <w:rsid w:val="00F76E83"/>
    <w:rsid w:val="00F86595"/>
    <w:rsid w:val="00F86FA8"/>
    <w:rsid w:val="00F930B5"/>
    <w:rsid w:val="00F97D7C"/>
    <w:rsid w:val="00FA59ED"/>
    <w:rsid w:val="00FB0B70"/>
    <w:rsid w:val="00FB22E8"/>
    <w:rsid w:val="00FB5FF4"/>
    <w:rsid w:val="00FC0948"/>
    <w:rsid w:val="00FD1616"/>
    <w:rsid w:val="00FE555A"/>
    <w:rsid w:val="00FF621F"/>
    <w:rsid w:val="00FF6531"/>
    <w:rsid w:val="0187402D"/>
    <w:rsid w:val="018D0F17"/>
    <w:rsid w:val="01A87AFF"/>
    <w:rsid w:val="027B41FF"/>
    <w:rsid w:val="02F56D74"/>
    <w:rsid w:val="037203C5"/>
    <w:rsid w:val="045201B4"/>
    <w:rsid w:val="04A471D1"/>
    <w:rsid w:val="05DD06BF"/>
    <w:rsid w:val="060F45F1"/>
    <w:rsid w:val="06971968"/>
    <w:rsid w:val="069F3BC7"/>
    <w:rsid w:val="08485B98"/>
    <w:rsid w:val="0A0D7099"/>
    <w:rsid w:val="0AA74DF8"/>
    <w:rsid w:val="0B4D1E43"/>
    <w:rsid w:val="0B662F05"/>
    <w:rsid w:val="0C923886"/>
    <w:rsid w:val="0DBA7538"/>
    <w:rsid w:val="0DC14423"/>
    <w:rsid w:val="0DE819AF"/>
    <w:rsid w:val="0E1C78AB"/>
    <w:rsid w:val="0E320E7D"/>
    <w:rsid w:val="0E3E3CC5"/>
    <w:rsid w:val="0E7D2A40"/>
    <w:rsid w:val="0EC3241C"/>
    <w:rsid w:val="0F2B71A1"/>
    <w:rsid w:val="0F694D72"/>
    <w:rsid w:val="0F705402"/>
    <w:rsid w:val="0FD0094D"/>
    <w:rsid w:val="0FED59A3"/>
    <w:rsid w:val="117B2B3A"/>
    <w:rsid w:val="11A05647"/>
    <w:rsid w:val="11C40985"/>
    <w:rsid w:val="12040D82"/>
    <w:rsid w:val="12B96010"/>
    <w:rsid w:val="139A439A"/>
    <w:rsid w:val="13ED41C3"/>
    <w:rsid w:val="140B63F8"/>
    <w:rsid w:val="14643D5A"/>
    <w:rsid w:val="1537321C"/>
    <w:rsid w:val="15877D00"/>
    <w:rsid w:val="15BD7BC5"/>
    <w:rsid w:val="15E909BB"/>
    <w:rsid w:val="168E1562"/>
    <w:rsid w:val="1768389B"/>
    <w:rsid w:val="183B3024"/>
    <w:rsid w:val="1893212C"/>
    <w:rsid w:val="192166BD"/>
    <w:rsid w:val="193C6AC6"/>
    <w:rsid w:val="19AF701F"/>
    <w:rsid w:val="19F9692D"/>
    <w:rsid w:val="1A0062D3"/>
    <w:rsid w:val="1A3D3083"/>
    <w:rsid w:val="1A6A32B9"/>
    <w:rsid w:val="1B055D44"/>
    <w:rsid w:val="1B0701AD"/>
    <w:rsid w:val="1B302BE8"/>
    <w:rsid w:val="1BF63E31"/>
    <w:rsid w:val="1C2362A8"/>
    <w:rsid w:val="1C291079"/>
    <w:rsid w:val="1C482963"/>
    <w:rsid w:val="1CA53161"/>
    <w:rsid w:val="1CD777BF"/>
    <w:rsid w:val="1D6B43AB"/>
    <w:rsid w:val="1D8611E5"/>
    <w:rsid w:val="1DCC309C"/>
    <w:rsid w:val="1E6B65BD"/>
    <w:rsid w:val="1F471B13"/>
    <w:rsid w:val="1FAB4F33"/>
    <w:rsid w:val="1FFC578E"/>
    <w:rsid w:val="201D5FF4"/>
    <w:rsid w:val="20AE5459"/>
    <w:rsid w:val="20D35D0F"/>
    <w:rsid w:val="20F16975"/>
    <w:rsid w:val="21C71420"/>
    <w:rsid w:val="22010E3A"/>
    <w:rsid w:val="22B8521D"/>
    <w:rsid w:val="2338088B"/>
    <w:rsid w:val="238166D6"/>
    <w:rsid w:val="23E629DD"/>
    <w:rsid w:val="24635DDC"/>
    <w:rsid w:val="24FE5B05"/>
    <w:rsid w:val="251B439B"/>
    <w:rsid w:val="25257535"/>
    <w:rsid w:val="255816B9"/>
    <w:rsid w:val="25A95A70"/>
    <w:rsid w:val="25CE197B"/>
    <w:rsid w:val="265C6F87"/>
    <w:rsid w:val="26A30712"/>
    <w:rsid w:val="28D9666D"/>
    <w:rsid w:val="29177195"/>
    <w:rsid w:val="2A44220C"/>
    <w:rsid w:val="2AF11001"/>
    <w:rsid w:val="2C33078A"/>
    <w:rsid w:val="2C4D184B"/>
    <w:rsid w:val="2D016192"/>
    <w:rsid w:val="2E9848D4"/>
    <w:rsid w:val="2EA15E7F"/>
    <w:rsid w:val="2EB84F76"/>
    <w:rsid w:val="2EFF6701"/>
    <w:rsid w:val="31511DCC"/>
    <w:rsid w:val="318A2BFA"/>
    <w:rsid w:val="319A6283"/>
    <w:rsid w:val="319B4E07"/>
    <w:rsid w:val="31B9528D"/>
    <w:rsid w:val="332537F4"/>
    <w:rsid w:val="335E433E"/>
    <w:rsid w:val="3421711A"/>
    <w:rsid w:val="34677B38"/>
    <w:rsid w:val="34B42E0F"/>
    <w:rsid w:val="35935DF5"/>
    <w:rsid w:val="35D97CAC"/>
    <w:rsid w:val="36EE3C2B"/>
    <w:rsid w:val="38440F08"/>
    <w:rsid w:val="3A8D72B7"/>
    <w:rsid w:val="3AB96ECB"/>
    <w:rsid w:val="3B183024"/>
    <w:rsid w:val="3B1B2B15"/>
    <w:rsid w:val="3B2A0FAA"/>
    <w:rsid w:val="3C342E5D"/>
    <w:rsid w:val="3C3D6ABB"/>
    <w:rsid w:val="3C65673D"/>
    <w:rsid w:val="3CDF76C4"/>
    <w:rsid w:val="3D9D5A63"/>
    <w:rsid w:val="3DA07301"/>
    <w:rsid w:val="3E0D0E3B"/>
    <w:rsid w:val="3F88629F"/>
    <w:rsid w:val="3FFF0C57"/>
    <w:rsid w:val="40DE6ABE"/>
    <w:rsid w:val="41760AA5"/>
    <w:rsid w:val="41DF2AEE"/>
    <w:rsid w:val="429A6A15"/>
    <w:rsid w:val="42D00689"/>
    <w:rsid w:val="44004F9E"/>
    <w:rsid w:val="44093E52"/>
    <w:rsid w:val="440C749E"/>
    <w:rsid w:val="448160DE"/>
    <w:rsid w:val="451D1616"/>
    <w:rsid w:val="4588524B"/>
    <w:rsid w:val="458F482B"/>
    <w:rsid w:val="462121EC"/>
    <w:rsid w:val="463211F6"/>
    <w:rsid w:val="46357180"/>
    <w:rsid w:val="46A63BDA"/>
    <w:rsid w:val="46F86634"/>
    <w:rsid w:val="47097F65"/>
    <w:rsid w:val="47290367"/>
    <w:rsid w:val="480B6632"/>
    <w:rsid w:val="48EB19B6"/>
    <w:rsid w:val="492C413F"/>
    <w:rsid w:val="49404493"/>
    <w:rsid w:val="49A63EF1"/>
    <w:rsid w:val="4AEA00E1"/>
    <w:rsid w:val="4B702A09"/>
    <w:rsid w:val="4BD33892"/>
    <w:rsid w:val="4C4D2D4A"/>
    <w:rsid w:val="4C51283A"/>
    <w:rsid w:val="4C5C510A"/>
    <w:rsid w:val="4C7C718B"/>
    <w:rsid w:val="4C9444D5"/>
    <w:rsid w:val="4C995F8F"/>
    <w:rsid w:val="4D502AF2"/>
    <w:rsid w:val="4E4D5283"/>
    <w:rsid w:val="4ED80FB5"/>
    <w:rsid w:val="4F132029"/>
    <w:rsid w:val="4F622668"/>
    <w:rsid w:val="51644DBE"/>
    <w:rsid w:val="51844B18"/>
    <w:rsid w:val="518C60C3"/>
    <w:rsid w:val="51C10433"/>
    <w:rsid w:val="521C22FA"/>
    <w:rsid w:val="521D4E51"/>
    <w:rsid w:val="5232256B"/>
    <w:rsid w:val="5281374D"/>
    <w:rsid w:val="53251DD8"/>
    <w:rsid w:val="53514ECE"/>
    <w:rsid w:val="536A5F90"/>
    <w:rsid w:val="537A4F37"/>
    <w:rsid w:val="53A45945"/>
    <w:rsid w:val="53FF492A"/>
    <w:rsid w:val="540E3B7C"/>
    <w:rsid w:val="55081F04"/>
    <w:rsid w:val="550D12C8"/>
    <w:rsid w:val="5523289A"/>
    <w:rsid w:val="555B64D8"/>
    <w:rsid w:val="56464A92"/>
    <w:rsid w:val="567C5548"/>
    <w:rsid w:val="56FE711B"/>
    <w:rsid w:val="57B07B22"/>
    <w:rsid w:val="57FB18AC"/>
    <w:rsid w:val="584C035A"/>
    <w:rsid w:val="58A70979"/>
    <w:rsid w:val="58AE55FC"/>
    <w:rsid w:val="592F09CD"/>
    <w:rsid w:val="59822285"/>
    <w:rsid w:val="59D6437F"/>
    <w:rsid w:val="5A5F25C6"/>
    <w:rsid w:val="5A8913F1"/>
    <w:rsid w:val="5AFE1DDF"/>
    <w:rsid w:val="5BFE5E0F"/>
    <w:rsid w:val="5C0C44F2"/>
    <w:rsid w:val="5C5D4E7D"/>
    <w:rsid w:val="5EB153BA"/>
    <w:rsid w:val="5EF05EE3"/>
    <w:rsid w:val="5EFB0D38"/>
    <w:rsid w:val="61446072"/>
    <w:rsid w:val="63220635"/>
    <w:rsid w:val="63512CC8"/>
    <w:rsid w:val="6429154F"/>
    <w:rsid w:val="64361CF9"/>
    <w:rsid w:val="646709F5"/>
    <w:rsid w:val="64BD4050"/>
    <w:rsid w:val="6526661E"/>
    <w:rsid w:val="67112E9A"/>
    <w:rsid w:val="67902011"/>
    <w:rsid w:val="68014955"/>
    <w:rsid w:val="686B0388"/>
    <w:rsid w:val="688A2F04"/>
    <w:rsid w:val="68D26659"/>
    <w:rsid w:val="6A102F95"/>
    <w:rsid w:val="6A184540"/>
    <w:rsid w:val="6A7F0115"/>
    <w:rsid w:val="6ACE19F6"/>
    <w:rsid w:val="6AF70C8C"/>
    <w:rsid w:val="6B9A16B0"/>
    <w:rsid w:val="6C294103"/>
    <w:rsid w:val="6D5835D1"/>
    <w:rsid w:val="6E3B25AB"/>
    <w:rsid w:val="6E4B6C92"/>
    <w:rsid w:val="6E8A3A67"/>
    <w:rsid w:val="6EBF142E"/>
    <w:rsid w:val="6F1B2B08"/>
    <w:rsid w:val="6F2051D5"/>
    <w:rsid w:val="6F653D83"/>
    <w:rsid w:val="701E3F32"/>
    <w:rsid w:val="70DA60AB"/>
    <w:rsid w:val="714870AD"/>
    <w:rsid w:val="71946BA2"/>
    <w:rsid w:val="727E6F0A"/>
    <w:rsid w:val="72A72905"/>
    <w:rsid w:val="72FD2525"/>
    <w:rsid w:val="734D2182"/>
    <w:rsid w:val="73AB3D2F"/>
    <w:rsid w:val="7420296E"/>
    <w:rsid w:val="74714F78"/>
    <w:rsid w:val="749B0247"/>
    <w:rsid w:val="74BD640F"/>
    <w:rsid w:val="75755070"/>
    <w:rsid w:val="75827958"/>
    <w:rsid w:val="75F06371"/>
    <w:rsid w:val="75F714AD"/>
    <w:rsid w:val="76254DF7"/>
    <w:rsid w:val="76361FD5"/>
    <w:rsid w:val="76CE43C4"/>
    <w:rsid w:val="770B3462"/>
    <w:rsid w:val="771E4C80"/>
    <w:rsid w:val="7730111A"/>
    <w:rsid w:val="77C67CC2"/>
    <w:rsid w:val="77DC095A"/>
    <w:rsid w:val="77DC4DFE"/>
    <w:rsid w:val="78112CFA"/>
    <w:rsid w:val="78DB6E64"/>
    <w:rsid w:val="791D56CF"/>
    <w:rsid w:val="794F33BA"/>
    <w:rsid w:val="797752F7"/>
    <w:rsid w:val="7A4F7B0A"/>
    <w:rsid w:val="7A94551C"/>
    <w:rsid w:val="7AFD7566"/>
    <w:rsid w:val="7B310FBD"/>
    <w:rsid w:val="7B783090"/>
    <w:rsid w:val="7BC6204D"/>
    <w:rsid w:val="7BD10F90"/>
    <w:rsid w:val="7BE40725"/>
    <w:rsid w:val="7C464F3C"/>
    <w:rsid w:val="7CE45924"/>
    <w:rsid w:val="7D07577A"/>
    <w:rsid w:val="7D5176F5"/>
    <w:rsid w:val="7D7B29C4"/>
    <w:rsid w:val="7D8201F6"/>
    <w:rsid w:val="7DA5381E"/>
    <w:rsid w:val="7E7F64E4"/>
    <w:rsid w:val="7F032C71"/>
    <w:rsid w:val="7F985AAF"/>
    <w:rsid w:val="7FF5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Date"/>
    <w:basedOn w:val="1"/>
    <w:next w:val="1"/>
    <w:link w:val="21"/>
    <w:qFormat/>
    <w:uiPriority w:val="0"/>
    <w:pPr>
      <w:ind w:left="100" w:leftChars="2500"/>
    </w:p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character" w:styleId="11">
    <w:name w:val="Emphasis"/>
    <w:basedOn w:val="10"/>
    <w:qFormat/>
    <w:uiPriority w:val="0"/>
    <w:rPr>
      <w:i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中等深浅网格 1 - 强调文字颜色 21"/>
    <w:basedOn w:val="1"/>
    <w:qFormat/>
    <w:uiPriority w:val="99"/>
    <w:pPr>
      <w:ind w:firstLine="420" w:firstLineChars="200"/>
    </w:pPr>
  </w:style>
  <w:style w:type="paragraph" w:customStyle="1" w:styleId="14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6">
    <w:name w:val="页眉 字符"/>
    <w:basedOn w:val="10"/>
    <w:link w:val="7"/>
    <w:qFormat/>
    <w:uiPriority w:val="99"/>
    <w:rPr>
      <w:kern w:val="2"/>
      <w:sz w:val="18"/>
    </w:rPr>
  </w:style>
  <w:style w:type="character" w:customStyle="1" w:styleId="17">
    <w:name w:val="页脚 字符"/>
    <w:basedOn w:val="10"/>
    <w:link w:val="6"/>
    <w:qFormat/>
    <w:uiPriority w:val="99"/>
    <w:rPr>
      <w:kern w:val="2"/>
      <w:sz w:val="18"/>
    </w:rPr>
  </w:style>
  <w:style w:type="paragraph" w:customStyle="1" w:styleId="18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0">
    <w:name w:val="修订4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1">
    <w:name w:val="日期 字符"/>
    <w:basedOn w:val="10"/>
    <w:link w:val="5"/>
    <w:qFormat/>
    <w:uiPriority w:val="0"/>
    <w:rPr>
      <w:kern w:val="2"/>
      <w:sz w:val="21"/>
    </w:rPr>
  </w:style>
  <w:style w:type="paragraph" w:customStyle="1" w:styleId="22">
    <w:name w:val="正文1"/>
    <w:basedOn w:val="1"/>
    <w:qFormat/>
    <w:uiPriority w:val="0"/>
    <w:pPr>
      <w:tabs>
        <w:tab w:val="left" w:pos="420"/>
      </w:tabs>
      <w:spacing w:line="360" w:lineRule="auto"/>
      <w:ind w:firstLine="420" w:firstLineChars="200"/>
    </w:pPr>
    <w:rPr>
      <w:rFonts w:ascii="宋体" w:hAnsi="宋体"/>
      <w:szCs w:val="24"/>
    </w:rPr>
  </w:style>
  <w:style w:type="paragraph" w:customStyle="1" w:styleId="2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icafeba.com</Company>
  <Pages>17</Pages>
  <Words>6471</Words>
  <Characters>6827</Characters>
  <Lines>66</Lines>
  <Paragraphs>18</Paragraphs>
  <TotalTime>1</TotalTime>
  <ScaleCrop>false</ScaleCrop>
  <LinksUpToDate>false</LinksUpToDate>
  <CharactersWithSpaces>6834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2020-12-21T07:02:00Z</dcterms:created>
  <dc:creator>小磐</dc:creator>
  <cp:lastModifiedBy>赋玖</cp:lastModifiedBy>
  <cp:lastPrinted>2024-12-27T01:48:00Z</cp:lastPrinted>
  <dcterms:modified xsi:type="dcterms:W3CDTF">2025-05-27T10:49:07Z</dcterms:modified>
  <cp:revision>441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F5056F4BCCF24A2CBDCE3BE47C55C3AD_13</vt:lpwstr>
  </property>
  <property fmtid="{D5CDD505-2E9C-101B-9397-08002B2CF9AE}" pid="4" name="KSOTemplateDocerSaveRecord">
    <vt:lpwstr>eyJoZGlkIjoiNjI5NGE5ODU3MzRjYjVkYmY4MDYyZTRkMGY5M2Y0MDQiLCJ1c2VySWQiOiIyNDM0NTk5NjMifQ==</vt:lpwstr>
  </property>
</Properties>
</file>