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16D78E">
      <w:pPr>
        <w:rPr>
          <w:rFonts w:hint="eastAsia" w:ascii="黑体" w:hAnsi="宋体" w:eastAsia="黑体"/>
          <w:color w:val="auto"/>
          <w:sz w:val="44"/>
          <w:szCs w:val="44"/>
          <w:highlight w:val="none"/>
        </w:rPr>
      </w:pPr>
    </w:p>
    <w:p w14:paraId="1CAF2CAC">
      <w:pPr>
        <w:widowControl/>
        <w:spacing w:after="240" w:afterLines="100" w:line="400" w:lineRule="atLeast"/>
        <w:ind w:firstLine="660" w:firstLineChars="150"/>
        <w:jc w:val="center"/>
        <w:rPr>
          <w:rFonts w:hint="eastAsia" w:ascii="宋体" w:hAnsi="宋体" w:eastAsia="宋体" w:cs="宋体"/>
          <w:color w:val="auto"/>
          <w:sz w:val="21"/>
          <w:szCs w:val="21"/>
          <w:highlight w:val="none"/>
        </w:rPr>
      </w:pPr>
      <w:bookmarkStart w:id="65" w:name="_GoBack"/>
      <w:r>
        <w:rPr>
          <w:rFonts w:hint="eastAsia" w:ascii="黑体" w:hAnsi="宋体" w:eastAsia="黑体"/>
          <w:color w:val="auto"/>
          <w:sz w:val="44"/>
          <w:szCs w:val="44"/>
          <w:highlight w:val="none"/>
        </w:rPr>
        <w:t>合同格式</w:t>
      </w:r>
      <w:bookmarkEnd w:id="65"/>
    </w:p>
    <w:p w14:paraId="79608478">
      <w:pPr>
        <w:pStyle w:val="7"/>
        <w:spacing w:line="360" w:lineRule="auto"/>
        <w:ind w:firstLine="420"/>
        <w:rPr>
          <w:rFonts w:hint="eastAsia" w:ascii="宋体" w:hAnsi="宋体" w:eastAsia="宋体" w:cs="宋体"/>
          <w:sz w:val="24"/>
          <w:szCs w:val="24"/>
        </w:rPr>
      </w:pPr>
      <w:r>
        <w:rPr>
          <w:rFonts w:hint="eastAsia" w:ascii="宋体" w:hAnsi="宋体" w:eastAsia="宋体" w:cs="宋体"/>
          <w:sz w:val="24"/>
          <w:szCs w:val="24"/>
        </w:rPr>
        <w:t xml:space="preserve">合同编号： </w:t>
      </w:r>
    </w:p>
    <w:p w14:paraId="711A9AE3">
      <w:pPr>
        <w:pStyle w:val="7"/>
        <w:spacing w:line="360" w:lineRule="auto"/>
        <w:ind w:firstLine="420"/>
        <w:rPr>
          <w:rFonts w:hint="eastAsia" w:ascii="宋体" w:hAnsi="宋体" w:eastAsia="宋体" w:cs="宋体"/>
          <w:sz w:val="24"/>
          <w:szCs w:val="24"/>
        </w:rPr>
      </w:pPr>
      <w:r>
        <w:rPr>
          <w:rFonts w:hint="eastAsia" w:ascii="宋体" w:hAnsi="宋体" w:eastAsia="宋体" w:cs="宋体"/>
          <w:sz w:val="24"/>
          <w:szCs w:val="24"/>
        </w:rPr>
        <w:t xml:space="preserve">签订地点： </w:t>
      </w:r>
    </w:p>
    <w:p w14:paraId="6115ADE0">
      <w:pPr>
        <w:pStyle w:val="7"/>
        <w:spacing w:line="360" w:lineRule="auto"/>
        <w:ind w:firstLine="420"/>
        <w:rPr>
          <w:rFonts w:hint="eastAsia" w:ascii="宋体" w:hAnsi="宋体" w:eastAsia="宋体" w:cs="宋体"/>
          <w:sz w:val="24"/>
          <w:szCs w:val="24"/>
        </w:rPr>
      </w:pPr>
      <w:r>
        <w:rPr>
          <w:rFonts w:hint="eastAsia" w:ascii="宋体" w:hAnsi="宋体" w:eastAsia="宋体" w:cs="宋体"/>
          <w:sz w:val="24"/>
          <w:szCs w:val="24"/>
        </w:rPr>
        <w:t xml:space="preserve">签订时间: </w:t>
      </w:r>
    </w:p>
    <w:p w14:paraId="41092CBB">
      <w:pPr>
        <w:pStyle w:val="7"/>
        <w:spacing w:line="360" w:lineRule="auto"/>
        <w:ind w:firstLine="439" w:firstLineChars="183"/>
        <w:rPr>
          <w:rFonts w:hint="eastAsia" w:ascii="宋体" w:hAnsi="宋体" w:eastAsia="宋体" w:cs="宋体"/>
          <w:sz w:val="24"/>
          <w:szCs w:val="24"/>
          <w:lang w:val="en-US" w:eastAsia="zh-CN"/>
        </w:rPr>
      </w:pPr>
      <w:r>
        <w:rPr>
          <w:rFonts w:hint="eastAsia" w:ascii="宋体" w:hAnsi="宋体" w:eastAsia="宋体" w:cs="宋体"/>
          <w:sz w:val="24"/>
          <w:szCs w:val="24"/>
        </w:rPr>
        <w:t>是否为专门面向中小企业的采购项目：</w:t>
      </w:r>
      <w:r>
        <w:rPr>
          <w:rFonts w:hint="eastAsia" w:ascii="宋体" w:hAnsi="宋体" w:eastAsia="宋体" w:cs="宋体"/>
          <w:sz w:val="24"/>
          <w:szCs w:val="24"/>
          <w:lang w:val="en-US" w:eastAsia="zh-CN"/>
        </w:rPr>
        <w:t>否</w:t>
      </w:r>
    </w:p>
    <w:p w14:paraId="3940C7E9">
      <w:pPr>
        <w:pStyle w:val="7"/>
        <w:spacing w:line="360" w:lineRule="auto"/>
        <w:ind w:firstLine="420"/>
        <w:rPr>
          <w:rFonts w:hint="eastAsia" w:ascii="宋体" w:hAnsi="宋体" w:eastAsia="宋体" w:cs="宋体"/>
          <w:sz w:val="24"/>
          <w:szCs w:val="24"/>
        </w:rPr>
      </w:pPr>
      <w:r>
        <w:rPr>
          <w:rFonts w:hint="eastAsia" w:ascii="宋体" w:hAnsi="宋体" w:eastAsia="宋体" w:cs="宋体"/>
          <w:sz w:val="24"/>
          <w:szCs w:val="24"/>
        </w:rPr>
        <w:t>采购人（甲方）：</w:t>
      </w:r>
    </w:p>
    <w:p w14:paraId="657E07B2">
      <w:pPr>
        <w:pStyle w:val="7"/>
        <w:spacing w:line="360" w:lineRule="auto"/>
        <w:ind w:firstLine="420"/>
        <w:rPr>
          <w:rFonts w:hint="eastAsia" w:ascii="宋体" w:hAnsi="宋体" w:eastAsia="宋体" w:cs="宋体"/>
          <w:sz w:val="24"/>
          <w:szCs w:val="24"/>
        </w:rPr>
      </w:pPr>
      <w:r>
        <w:rPr>
          <w:rFonts w:hint="eastAsia" w:ascii="宋体" w:hAnsi="宋体" w:eastAsia="宋体" w:cs="宋体"/>
          <w:sz w:val="24"/>
          <w:szCs w:val="24"/>
        </w:rPr>
        <w:t>供应商（乙方）：</w:t>
      </w:r>
    </w:p>
    <w:p w14:paraId="3F408E32">
      <w:pPr>
        <w:pStyle w:val="4"/>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w:t>
      </w:r>
      <w:r>
        <w:rPr>
          <w:rFonts w:hint="eastAsia" w:ascii="宋体" w:hAnsi="宋体" w:eastAsia="宋体" w:cs="宋体"/>
          <w:color w:val="000000"/>
          <w:sz w:val="24"/>
          <w:szCs w:val="24"/>
          <w:lang w:eastAsia="zh-CN"/>
        </w:rPr>
        <w:t>中共西安市委宣传部高端智库综合信息服务</w:t>
      </w:r>
      <w:r>
        <w:rPr>
          <w:rFonts w:hint="eastAsia" w:ascii="宋体" w:hAnsi="宋体" w:eastAsia="宋体" w:cs="宋体"/>
          <w:sz w:val="24"/>
          <w:szCs w:val="24"/>
        </w:rPr>
        <w:t>（采购项目</w:t>
      </w:r>
      <w:r>
        <w:rPr>
          <w:rFonts w:hint="eastAsia" w:ascii="宋体" w:hAnsi="宋体" w:eastAsia="宋体" w:cs="宋体"/>
          <w:sz w:val="24"/>
          <w:szCs w:val="24"/>
          <w:highlight w:val="none"/>
        </w:rPr>
        <w:t>编号</w:t>
      </w:r>
      <w:r>
        <w:rPr>
          <w:rFonts w:hint="eastAsia" w:ascii="宋体" w:hAnsi="宋体" w:eastAsia="宋体" w:cs="宋体"/>
          <w:sz w:val="24"/>
          <w:szCs w:val="24"/>
          <w:highlight w:val="none"/>
          <w:lang w:eastAsia="zh-CN"/>
        </w:rPr>
        <w:t>SXHT-(CS)20250503</w:t>
      </w:r>
      <w:r>
        <w:rPr>
          <w:rFonts w:hint="eastAsia" w:ascii="宋体" w:hAnsi="宋体" w:eastAsia="宋体" w:cs="宋体"/>
          <w:sz w:val="24"/>
          <w:szCs w:val="24"/>
        </w:rPr>
        <w:t>的采购文件、响应文件等有关规定，为确保甲方采购项目的顺利实施，甲、乙双方在平等自愿原则下签订本合同，并共同遵守如下条款，其主要要求如下：</w:t>
      </w:r>
    </w:p>
    <w:p w14:paraId="600865FA">
      <w:pPr>
        <w:widowControl/>
        <w:spacing w:line="360" w:lineRule="auto"/>
        <w:ind w:firstLine="482" w:firstLineChars="200"/>
        <w:jc w:val="left"/>
        <w:outlineLvl w:val="1"/>
        <w:rPr>
          <w:rFonts w:hint="eastAsia" w:ascii="宋体" w:hAnsi="宋体" w:eastAsia="宋体" w:cs="宋体"/>
          <w:b/>
          <w:sz w:val="24"/>
          <w:szCs w:val="24"/>
        </w:rPr>
      </w:pPr>
      <w:bookmarkStart w:id="0" w:name="_Toc11438"/>
      <w:r>
        <w:rPr>
          <w:rFonts w:hint="eastAsia" w:ascii="宋体" w:hAnsi="宋体" w:eastAsia="宋体" w:cs="宋体"/>
          <w:b/>
          <w:sz w:val="24"/>
          <w:szCs w:val="24"/>
        </w:rPr>
        <w:t>第一条   项目基本情况</w:t>
      </w:r>
      <w:bookmarkEnd w:id="0"/>
    </w:p>
    <w:p w14:paraId="70ADB75D">
      <w:pPr>
        <w:pStyle w:val="4"/>
        <w:spacing w:line="360" w:lineRule="auto"/>
        <w:ind w:firstLine="480" w:firstLineChars="200"/>
        <w:rPr>
          <w:rFonts w:hint="eastAsia" w:ascii="宋体" w:hAnsi="宋体" w:eastAsia="宋体" w:cs="宋体"/>
          <w:color w:val="000000"/>
          <w:sz w:val="24"/>
          <w:szCs w:val="24"/>
          <w:lang w:eastAsia="zh-CN"/>
        </w:rPr>
      </w:pPr>
      <w:bookmarkStart w:id="1" w:name="_Toc24394"/>
      <w:r>
        <w:rPr>
          <w:rFonts w:hint="eastAsia" w:ascii="宋体" w:hAnsi="宋体" w:eastAsia="宋体" w:cs="宋体"/>
          <w:color w:val="000000"/>
          <w:sz w:val="24"/>
          <w:szCs w:val="24"/>
          <w:lang w:eastAsia="zh-CN"/>
        </w:rPr>
        <w:t>中共西安市委宣传部高端智库综合信息服务</w:t>
      </w:r>
    </w:p>
    <w:p w14:paraId="6D5957A8">
      <w:pPr>
        <w:widowControl/>
        <w:spacing w:line="360" w:lineRule="auto"/>
        <w:ind w:firstLine="482" w:firstLineChars="200"/>
        <w:jc w:val="left"/>
        <w:outlineLvl w:val="1"/>
        <w:rPr>
          <w:rFonts w:hint="eastAsia" w:ascii="宋体" w:hAnsi="宋体" w:eastAsia="宋体" w:cs="宋体"/>
          <w:b/>
          <w:sz w:val="24"/>
          <w:szCs w:val="24"/>
        </w:rPr>
      </w:pPr>
      <w:r>
        <w:rPr>
          <w:rFonts w:hint="eastAsia" w:ascii="宋体" w:hAnsi="宋体" w:eastAsia="宋体" w:cs="宋体"/>
          <w:b/>
          <w:sz w:val="24"/>
          <w:szCs w:val="24"/>
        </w:rPr>
        <w:t>第二条   服务期限</w:t>
      </w:r>
      <w:bookmarkEnd w:id="1"/>
    </w:p>
    <w:p w14:paraId="7A7FA6AB">
      <w:pPr>
        <w:spacing w:line="360" w:lineRule="auto"/>
        <w:ind w:firstLine="480" w:firstLineChars="200"/>
        <w:rPr>
          <w:rFonts w:hint="eastAsia" w:ascii="宋体" w:hAnsi="宋体" w:eastAsia="宋体" w:cs="宋体"/>
          <w:sz w:val="24"/>
          <w:szCs w:val="24"/>
        </w:rPr>
      </w:pPr>
      <w:bookmarkStart w:id="2" w:name="_Toc2407"/>
      <w:bookmarkStart w:id="3" w:name="_Toc211854449"/>
      <w:bookmarkStart w:id="4" w:name="_Toc247334841"/>
      <w:bookmarkStart w:id="5" w:name="_Toc185395249"/>
      <w:bookmarkStart w:id="6" w:name="_Toc212019594"/>
      <w:bookmarkStart w:id="7" w:name="_Toc241833903"/>
      <w:bookmarkStart w:id="8" w:name="_Toc239233914"/>
      <w:bookmarkStart w:id="9" w:name="_Toc225244852"/>
      <w:bookmarkStart w:id="10" w:name="_Toc238984975"/>
      <w:bookmarkStart w:id="11" w:name="_Toc232492928"/>
      <w:bookmarkStart w:id="12" w:name="_Toc225670751"/>
      <w:bookmarkStart w:id="13" w:name="_Toc286993786"/>
      <w:bookmarkStart w:id="14" w:name="_Toc283019214"/>
      <w:bookmarkStart w:id="15" w:name="_Toc211911348"/>
      <w:bookmarkStart w:id="16" w:name="_Toc237145406"/>
      <w:bookmarkStart w:id="17" w:name="_Toc282696226"/>
      <w:bookmarkStart w:id="18" w:name="_Toc225654644"/>
      <w:bookmarkStart w:id="19" w:name="_Toc251768862"/>
      <w:bookmarkStart w:id="20" w:name="_Toc239568418"/>
      <w:r>
        <w:rPr>
          <w:rFonts w:hint="eastAsia" w:ascii="宋体" w:hAnsi="宋体" w:eastAsia="宋体" w:cs="宋体"/>
          <w:sz w:val="24"/>
          <w:szCs w:val="24"/>
        </w:rPr>
        <w:t>自合同签订之日起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内执行完毕</w:t>
      </w:r>
    </w:p>
    <w:p w14:paraId="33F2C065">
      <w:pPr>
        <w:widowControl/>
        <w:tabs>
          <w:tab w:val="left" w:pos="387"/>
        </w:tabs>
        <w:spacing w:line="360" w:lineRule="auto"/>
        <w:ind w:firstLine="482" w:firstLineChars="200"/>
        <w:jc w:val="left"/>
        <w:outlineLvl w:val="1"/>
        <w:rPr>
          <w:rFonts w:hint="eastAsia" w:ascii="宋体" w:hAnsi="宋体" w:eastAsia="宋体" w:cs="宋体"/>
          <w:b/>
          <w:sz w:val="24"/>
          <w:szCs w:val="24"/>
        </w:rPr>
      </w:pPr>
      <w:r>
        <w:rPr>
          <w:rFonts w:hint="eastAsia" w:ascii="宋体" w:hAnsi="宋体" w:eastAsia="宋体" w:cs="宋体"/>
          <w:b/>
          <w:sz w:val="24"/>
          <w:szCs w:val="24"/>
        </w:rPr>
        <w:t>第三条   服务内容与质量标准</w:t>
      </w:r>
      <w:bookmarkEnd w:id="2"/>
    </w:p>
    <w:p w14:paraId="5CCD414D">
      <w:pPr>
        <w:adjustRightInd w:val="0"/>
        <w:spacing w:line="360" w:lineRule="auto"/>
        <w:ind w:firstLine="480" w:firstLineChars="200"/>
        <w:jc w:val="left"/>
        <w:textAlignment w:val="baseline"/>
        <w:rPr>
          <w:rFonts w:hint="eastAsia" w:ascii="宋体" w:hAnsi="宋体" w:eastAsia="宋体" w:cs="宋体"/>
          <w:bCs/>
          <w:sz w:val="24"/>
          <w:szCs w:val="24"/>
        </w:rPr>
      </w:pPr>
      <w:bookmarkStart w:id="21" w:name="_Toc20078"/>
      <w:r>
        <w:rPr>
          <w:rFonts w:hint="eastAsia" w:ascii="宋体" w:hAnsi="宋体" w:cs="宋体"/>
          <w:bCs/>
          <w:sz w:val="24"/>
          <w:szCs w:val="24"/>
          <w:lang w:val="en-US" w:eastAsia="zh-CN"/>
        </w:rPr>
        <w:t>1.</w:t>
      </w:r>
      <w:r>
        <w:rPr>
          <w:rFonts w:hint="eastAsia" w:ascii="宋体" w:hAnsi="宋体" w:eastAsia="宋体" w:cs="宋体"/>
          <w:bCs/>
          <w:sz w:val="24"/>
          <w:szCs w:val="24"/>
        </w:rPr>
        <w:t>根据甲方需求在指定时间段内提供</w:t>
      </w:r>
      <w:r>
        <w:rPr>
          <w:rFonts w:hint="eastAsia" w:ascii="宋体" w:hAnsi="宋体" w:cs="宋体"/>
          <w:bCs/>
          <w:sz w:val="24"/>
          <w:szCs w:val="24"/>
          <w:lang w:val="en-US" w:eastAsia="zh-CN"/>
        </w:rPr>
        <w:t>信息监测日报</w:t>
      </w:r>
      <w:r>
        <w:rPr>
          <w:rFonts w:hint="eastAsia" w:ascii="宋体" w:hAnsi="宋体" w:eastAsia="宋体" w:cs="宋体"/>
          <w:bCs/>
          <w:sz w:val="24"/>
          <w:szCs w:val="24"/>
        </w:rPr>
        <w:t>;</w:t>
      </w:r>
    </w:p>
    <w:p w14:paraId="0C500B94">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cs="宋体"/>
          <w:bCs/>
          <w:sz w:val="24"/>
          <w:szCs w:val="24"/>
          <w:lang w:val="en-US" w:eastAsia="zh-CN"/>
        </w:rPr>
        <w:t>2.</w:t>
      </w:r>
      <w:r>
        <w:rPr>
          <w:rFonts w:hint="eastAsia" w:ascii="宋体" w:hAnsi="宋体" w:eastAsia="宋体" w:cs="宋体"/>
          <w:bCs/>
          <w:sz w:val="24"/>
          <w:szCs w:val="24"/>
        </w:rPr>
        <w:t>按约定的周期提供阶段性</w:t>
      </w:r>
      <w:r>
        <w:rPr>
          <w:rFonts w:hint="eastAsia" w:ascii="宋体" w:hAnsi="宋体" w:cs="宋体"/>
          <w:bCs/>
          <w:sz w:val="24"/>
          <w:szCs w:val="24"/>
          <w:lang w:val="en-US" w:eastAsia="zh-CN"/>
        </w:rPr>
        <w:t>信息监测</w:t>
      </w:r>
      <w:r>
        <w:rPr>
          <w:rFonts w:hint="eastAsia" w:ascii="宋体" w:hAnsi="宋体" w:eastAsia="宋体" w:cs="宋体"/>
          <w:bCs/>
          <w:sz w:val="24"/>
          <w:szCs w:val="24"/>
        </w:rPr>
        <w:t>报告，包括</w:t>
      </w:r>
      <w:r>
        <w:rPr>
          <w:rFonts w:hint="eastAsia" w:ascii="宋体" w:hAnsi="宋体" w:cs="宋体"/>
          <w:bCs/>
          <w:sz w:val="24"/>
          <w:szCs w:val="24"/>
          <w:lang w:val="en-US" w:eastAsia="zh-CN"/>
        </w:rPr>
        <w:t>周报、月报、年度报告</w:t>
      </w:r>
      <w:r>
        <w:rPr>
          <w:rFonts w:hint="eastAsia" w:ascii="宋体" w:hAnsi="宋体" w:eastAsia="宋体" w:cs="宋体"/>
          <w:bCs/>
          <w:sz w:val="24"/>
          <w:szCs w:val="24"/>
        </w:rPr>
        <w:t>；</w:t>
      </w:r>
    </w:p>
    <w:p w14:paraId="25E1509B">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cs="宋体"/>
          <w:bCs/>
          <w:sz w:val="24"/>
          <w:szCs w:val="24"/>
          <w:lang w:val="en-US" w:eastAsia="zh-CN"/>
        </w:rPr>
        <w:t>3.</w:t>
      </w:r>
      <w:r>
        <w:rPr>
          <w:rFonts w:hint="eastAsia" w:ascii="宋体" w:hAnsi="宋体" w:eastAsia="宋体" w:cs="宋体"/>
          <w:bCs/>
          <w:sz w:val="24"/>
          <w:szCs w:val="24"/>
        </w:rPr>
        <w:t>针对涉及甲方的热点敏感或重大突发事件，及时提供精准的传播监测和分析研判，并提供专业、权威的应对处置智库咨询；</w:t>
      </w:r>
    </w:p>
    <w:p w14:paraId="44ABA2EB">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cs="宋体"/>
          <w:bCs/>
          <w:sz w:val="24"/>
          <w:szCs w:val="24"/>
          <w:lang w:val="en-US" w:eastAsia="zh-CN"/>
        </w:rPr>
        <w:t>4.</w:t>
      </w:r>
      <w:r>
        <w:rPr>
          <w:rFonts w:hint="eastAsia" w:ascii="宋体" w:hAnsi="宋体" w:eastAsia="宋体" w:cs="宋体"/>
          <w:bCs/>
          <w:sz w:val="24"/>
          <w:szCs w:val="24"/>
        </w:rPr>
        <w:t>根据甲方需求提供重大活动影响力评估报告；</w:t>
      </w:r>
    </w:p>
    <w:p w14:paraId="27D5758A">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cs="宋体"/>
          <w:bCs/>
          <w:sz w:val="24"/>
          <w:szCs w:val="24"/>
          <w:lang w:val="en-US" w:eastAsia="zh-CN"/>
        </w:rPr>
        <w:t>5.</w:t>
      </w:r>
      <w:r>
        <w:rPr>
          <w:rFonts w:hint="eastAsia" w:ascii="宋体" w:hAnsi="宋体" w:eastAsia="宋体" w:cs="宋体"/>
          <w:bCs/>
          <w:sz w:val="24"/>
          <w:szCs w:val="24"/>
        </w:rPr>
        <w:t>在重大事件、敏感时间节点前后提供相关分析报告；</w:t>
      </w:r>
    </w:p>
    <w:p w14:paraId="4D4145F8">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cs="宋体"/>
          <w:bCs/>
          <w:sz w:val="24"/>
          <w:szCs w:val="24"/>
          <w:lang w:val="en-US" w:eastAsia="zh-CN"/>
        </w:rPr>
        <w:t>6.</w:t>
      </w:r>
      <w:r>
        <w:rPr>
          <w:rFonts w:hint="eastAsia" w:ascii="宋体" w:hAnsi="宋体" w:eastAsia="宋体" w:cs="宋体"/>
          <w:bCs/>
          <w:sz w:val="24"/>
          <w:szCs w:val="24"/>
        </w:rPr>
        <w:t>提供</w:t>
      </w:r>
      <w:r>
        <w:rPr>
          <w:rFonts w:hint="eastAsia" w:ascii="宋体" w:hAnsi="宋体" w:cs="宋体"/>
          <w:bCs/>
          <w:sz w:val="24"/>
          <w:szCs w:val="24"/>
          <w:lang w:val="en-US" w:eastAsia="zh-CN"/>
        </w:rPr>
        <w:t>至少一次相关</w:t>
      </w:r>
      <w:r>
        <w:rPr>
          <w:rFonts w:hint="eastAsia" w:ascii="宋体" w:hAnsi="宋体" w:eastAsia="宋体" w:cs="宋体"/>
          <w:bCs/>
          <w:sz w:val="24"/>
          <w:szCs w:val="24"/>
        </w:rPr>
        <w:t>业务培训；</w:t>
      </w:r>
    </w:p>
    <w:p w14:paraId="1200C7A0">
      <w:pPr>
        <w:adjustRightInd w:val="0"/>
        <w:spacing w:line="360" w:lineRule="auto"/>
        <w:ind w:firstLine="480" w:firstLineChars="200"/>
        <w:jc w:val="left"/>
        <w:textAlignment w:val="baseline"/>
        <w:rPr>
          <w:rFonts w:hint="default" w:ascii="宋体" w:hAnsi="宋体" w:eastAsia="宋体" w:cs="宋体"/>
          <w:bCs/>
          <w:sz w:val="24"/>
          <w:szCs w:val="24"/>
          <w:lang w:val="en-US" w:eastAsia="zh-CN"/>
        </w:rPr>
      </w:pPr>
      <w:r>
        <w:rPr>
          <w:rFonts w:hint="eastAsia" w:ascii="宋体" w:hAnsi="宋体" w:cs="宋体"/>
          <w:bCs/>
          <w:sz w:val="24"/>
          <w:szCs w:val="24"/>
          <w:lang w:val="en-US" w:eastAsia="zh-CN"/>
        </w:rPr>
        <w:t>7.按旬提供权威政务高端智库分析报告。</w:t>
      </w:r>
    </w:p>
    <w:p w14:paraId="62E4184F">
      <w:pPr>
        <w:widowControl/>
        <w:spacing w:line="360" w:lineRule="auto"/>
        <w:ind w:firstLine="482" w:firstLineChars="200"/>
        <w:jc w:val="left"/>
        <w:outlineLvl w:val="1"/>
        <w:rPr>
          <w:rFonts w:hint="eastAsia" w:ascii="宋体" w:hAnsi="宋体" w:eastAsia="宋体" w:cs="宋体"/>
          <w:b/>
          <w:sz w:val="24"/>
          <w:szCs w:val="24"/>
        </w:rPr>
      </w:pPr>
      <w:r>
        <w:rPr>
          <w:rFonts w:hint="eastAsia" w:ascii="宋体" w:hAnsi="宋体" w:eastAsia="宋体" w:cs="宋体"/>
          <w:b/>
          <w:sz w:val="24"/>
          <w:szCs w:val="24"/>
        </w:rPr>
        <w:t>第四条   服务费用及支付方式</w:t>
      </w:r>
      <w:bookmarkEnd w:id="21"/>
    </w:p>
    <w:p w14:paraId="1686814D">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1.甲方向乙方支付本协议项下服务费用合计人民币：（含增值税金额）：</w:t>
      </w:r>
    </w:p>
    <w:p w14:paraId="637C77B4">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（大写）</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rPr>
        <w:t>元整</w:t>
      </w:r>
    </w:p>
    <w:p w14:paraId="3056AAEB">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rPr>
        <w:t>元</w:t>
      </w:r>
    </w:p>
    <w:p w14:paraId="0900895E">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2.付款方式：</w:t>
      </w:r>
    </w:p>
    <w:p w14:paraId="126111F7">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甲方于本协议生效起</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rPr>
        <w:t>个工作日内，将本协议约定服务费用一次性支付至乙方指定的银行账户。</w:t>
      </w:r>
    </w:p>
    <w:p w14:paraId="2BA08541">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cs="宋体"/>
          <w:kern w:val="0"/>
          <w:sz w:val="24"/>
          <w:szCs w:val="24"/>
          <w:lang w:val="en-US" w:eastAsia="zh-CN"/>
        </w:rPr>
        <w:t>3</w:t>
      </w:r>
      <w:r>
        <w:rPr>
          <w:rFonts w:hint="eastAsia" w:ascii="宋体" w:hAnsi="宋体" w:eastAsia="宋体" w:cs="宋体"/>
          <w:kern w:val="0"/>
          <w:sz w:val="24"/>
          <w:szCs w:val="24"/>
        </w:rPr>
        <w:t>.结算方式：银行转账。</w:t>
      </w:r>
    </w:p>
    <w:p w14:paraId="7D29F45F">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cs="宋体"/>
          <w:kern w:val="0"/>
          <w:sz w:val="24"/>
          <w:szCs w:val="24"/>
          <w:lang w:val="en-US" w:eastAsia="zh-CN"/>
        </w:rPr>
        <w:t>4</w:t>
      </w:r>
      <w:r>
        <w:rPr>
          <w:rFonts w:hint="eastAsia" w:ascii="宋体" w:hAnsi="宋体" w:eastAsia="宋体" w:cs="宋体"/>
          <w:kern w:val="0"/>
          <w:sz w:val="24"/>
          <w:szCs w:val="24"/>
        </w:rPr>
        <w:t>、乙方收款账户</w:t>
      </w:r>
    </w:p>
    <w:p w14:paraId="5FA36E3C">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账户名称：                 </w:t>
      </w:r>
    </w:p>
    <w:p w14:paraId="6E0AD164">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开户银行：                   </w:t>
      </w:r>
    </w:p>
    <w:p w14:paraId="4CC21B74">
      <w:pPr>
        <w:widowControl/>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银行账号：</w:t>
      </w:r>
      <w:r>
        <w:rPr>
          <w:rFonts w:hint="eastAsia" w:ascii="宋体" w:hAnsi="宋体" w:eastAsia="宋体" w:cs="宋体"/>
          <w:kern w:val="0"/>
          <w:sz w:val="24"/>
          <w:szCs w:val="24"/>
          <w:lang w:val="en-US" w:eastAsia="zh-CN"/>
        </w:rPr>
        <w:t xml:space="preserve">                 </w:t>
      </w:r>
    </w:p>
    <w:p w14:paraId="39F1D0B7">
      <w:pPr>
        <w:spacing w:line="360" w:lineRule="auto"/>
        <w:ind w:left="425"/>
        <w:outlineLvl w:val="1"/>
        <w:rPr>
          <w:rFonts w:hint="eastAsia" w:ascii="宋体" w:hAnsi="宋体" w:eastAsia="宋体" w:cs="宋体"/>
          <w:b/>
          <w:color w:val="auto"/>
          <w:sz w:val="24"/>
          <w:szCs w:val="24"/>
        </w:rPr>
      </w:pPr>
      <w:bookmarkStart w:id="22" w:name="_Toc22959"/>
      <w:r>
        <w:rPr>
          <w:rFonts w:hint="eastAsia" w:ascii="宋体" w:hAnsi="宋体" w:eastAsia="宋体" w:cs="宋体"/>
          <w:b/>
          <w:color w:val="auto"/>
          <w:sz w:val="24"/>
          <w:szCs w:val="24"/>
        </w:rPr>
        <w:t>第五条   知识产权</w:t>
      </w:r>
      <w:bookmarkEnd w:id="22"/>
    </w:p>
    <w:p w14:paraId="77E09194">
      <w:pPr>
        <w:adjustRightInd w:val="0"/>
        <w:spacing w:line="360" w:lineRule="auto"/>
        <w:ind w:firstLine="480" w:firstLineChars="200"/>
        <w:jc w:val="left"/>
        <w:textAlignment w:val="baseline"/>
        <w:rPr>
          <w:rFonts w:hint="eastAsia" w:ascii="宋体" w:hAnsi="宋体" w:eastAsia="宋体" w:cs="宋体"/>
          <w:bCs/>
          <w:sz w:val="24"/>
          <w:szCs w:val="24"/>
        </w:rPr>
      </w:pPr>
      <w:bookmarkStart w:id="23" w:name="_Toc31647"/>
      <w:r>
        <w:rPr>
          <w:rFonts w:hint="eastAsia" w:ascii="宋体" w:hAnsi="宋体" w:eastAsia="宋体" w:cs="宋体"/>
          <w:bCs/>
          <w:sz w:val="24"/>
          <w:szCs w:val="24"/>
        </w:rPr>
        <w:t>1.乙方为甲方提供服务所交付的相关文件材料及载体，其知识产权、商业秘密及非公开信息等合法权益归乙方所有。</w:t>
      </w:r>
    </w:p>
    <w:p w14:paraId="32EA9CAA">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2.甲方应尊重和保护本协议项下服务成果、载体等方面涉及的知识产权。</w:t>
      </w:r>
    </w:p>
    <w:p w14:paraId="5CA5C61E">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3.甲乙双方均应就有关本协议项下一切相关事宜进行保密，不得披露双方合作内容、方式以及过程等。需要对外披露的，必须经双方共同协商书面同意后方可进行。双方上述保密义务不因协议的终止和无效而解除。</w:t>
      </w:r>
    </w:p>
    <w:p w14:paraId="1480174A">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4.甲方应建立自查机制，发现部门单位及个人有违背本协议约定行为的，应</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rPr>
        <w:t>个工作日内纠正。如上述问题存在超过</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rPr>
        <w:t>个工作日，乙方有权在书面通知甲方后暂停提供服务，直至确认上述行为已纠正则恢复提供服务，纠正期间服务期的计算不中止。</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3"/>
    <w:p w14:paraId="1F30417E">
      <w:pPr>
        <w:spacing w:line="360" w:lineRule="auto"/>
        <w:ind w:left="426"/>
        <w:outlineLvl w:val="1"/>
        <w:rPr>
          <w:rFonts w:hint="eastAsia" w:ascii="宋体" w:hAnsi="宋体" w:eastAsia="宋体" w:cs="宋体"/>
          <w:b/>
          <w:sz w:val="24"/>
          <w:szCs w:val="24"/>
        </w:rPr>
      </w:pPr>
      <w:bookmarkStart w:id="24" w:name="_Toc16162"/>
      <w:r>
        <w:rPr>
          <w:rFonts w:hint="eastAsia" w:ascii="宋体" w:hAnsi="宋体" w:eastAsia="宋体" w:cs="宋体"/>
          <w:b/>
          <w:sz w:val="24"/>
          <w:szCs w:val="24"/>
        </w:rPr>
        <w:t>第</w:t>
      </w:r>
      <w:r>
        <w:rPr>
          <w:rFonts w:hint="eastAsia" w:ascii="宋体" w:hAnsi="宋体" w:cs="宋体"/>
          <w:b/>
          <w:sz w:val="24"/>
          <w:szCs w:val="24"/>
          <w:lang w:val="en-US" w:eastAsia="zh-CN"/>
        </w:rPr>
        <w:t>六</w:t>
      </w:r>
      <w:r>
        <w:rPr>
          <w:rFonts w:hint="eastAsia" w:ascii="宋体" w:hAnsi="宋体" w:eastAsia="宋体" w:cs="宋体"/>
          <w:b/>
          <w:sz w:val="24"/>
          <w:szCs w:val="24"/>
        </w:rPr>
        <w:t>条  甲方的权利和义务</w:t>
      </w:r>
      <w:bookmarkEnd w:id="24"/>
    </w:p>
    <w:p w14:paraId="7242C176">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1.甲方不得将乙方提供的信息产品公开发表或用于商业性运营。</w:t>
      </w:r>
    </w:p>
    <w:p w14:paraId="1BB9054F">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2.甲方若以超出本协议约定的范围和方式，使用、复制或传播本协议项下信息产品，应事先征得乙方书面同意，并明确超范围使用的方式和责任。</w:t>
      </w:r>
    </w:p>
    <w:p w14:paraId="25D32167">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3.甲方按乙方要求准备接受服务的必要条件，包括对应的硬件和软件环境等。若因甲方的硬件和软件环境不符合乙方要求而导致服务中断，乙方提供技术支持，配合甲方解决相关问题。</w:t>
      </w:r>
    </w:p>
    <w:p w14:paraId="66DE115B">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4.甲方应保证接受乙方信息服务的联系方式准确无误，若有变更应立即以书面形式通知乙方，如因通知不及时而导致的一切损失由甲方自行承担。</w:t>
      </w:r>
    </w:p>
    <w:p w14:paraId="20FEBF49">
      <w:pPr>
        <w:spacing w:line="360" w:lineRule="auto"/>
        <w:ind w:left="426"/>
        <w:outlineLvl w:val="1"/>
        <w:rPr>
          <w:rFonts w:hint="eastAsia" w:ascii="宋体" w:hAnsi="宋体" w:eastAsia="宋体" w:cs="宋体"/>
          <w:b/>
          <w:sz w:val="24"/>
          <w:szCs w:val="24"/>
        </w:rPr>
      </w:pPr>
      <w:bookmarkStart w:id="25" w:name="_Toc27740"/>
      <w:r>
        <w:rPr>
          <w:rFonts w:hint="eastAsia" w:ascii="宋体" w:hAnsi="宋体" w:eastAsia="宋体" w:cs="宋体"/>
          <w:b/>
          <w:sz w:val="24"/>
          <w:szCs w:val="24"/>
        </w:rPr>
        <w:t>第</w:t>
      </w:r>
      <w:r>
        <w:rPr>
          <w:rFonts w:hint="eastAsia" w:ascii="宋体" w:hAnsi="宋体" w:cs="宋体"/>
          <w:b/>
          <w:sz w:val="24"/>
          <w:szCs w:val="24"/>
          <w:lang w:val="en-US" w:eastAsia="zh-CN"/>
        </w:rPr>
        <w:t>七</w:t>
      </w:r>
      <w:r>
        <w:rPr>
          <w:rFonts w:hint="eastAsia" w:ascii="宋体" w:hAnsi="宋体" w:eastAsia="宋体" w:cs="宋体"/>
          <w:b/>
          <w:sz w:val="24"/>
          <w:szCs w:val="24"/>
        </w:rPr>
        <w:t>条  乙方的权利和义务</w:t>
      </w:r>
      <w:bookmarkEnd w:id="25"/>
    </w:p>
    <w:p w14:paraId="285DDF78">
      <w:pPr>
        <w:adjustRightInd w:val="0"/>
        <w:spacing w:line="360" w:lineRule="auto"/>
        <w:ind w:firstLine="480" w:firstLineChars="200"/>
        <w:jc w:val="left"/>
        <w:textAlignment w:val="baseline"/>
        <w:rPr>
          <w:rFonts w:hint="eastAsia" w:ascii="宋体" w:hAnsi="宋体" w:eastAsia="宋体" w:cs="宋体"/>
          <w:bCs/>
          <w:sz w:val="24"/>
          <w:szCs w:val="24"/>
        </w:rPr>
      </w:pPr>
      <w:bookmarkStart w:id="26" w:name="_Toc25988"/>
      <w:r>
        <w:rPr>
          <w:rFonts w:hint="eastAsia" w:ascii="宋体" w:hAnsi="宋体" w:eastAsia="宋体" w:cs="宋体"/>
          <w:bCs/>
          <w:sz w:val="24"/>
          <w:szCs w:val="24"/>
        </w:rPr>
        <w:t>1.乙方在协议生效期内，按本协议约定向甲方提供服务，并以本协议首部载明的联系信息作为提供服务的对接方式。</w:t>
      </w:r>
    </w:p>
    <w:p w14:paraId="773A3835">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2.听取甲方对乙方信息产品质量、传输时效及技术服务的意见、建议和要求。</w:t>
      </w:r>
    </w:p>
    <w:p w14:paraId="78C75EE5">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3.乙方按照本协议约定负责信息的数据采集、加工、处理、分析、撰写报告等工作，以确保服务质量符合本协议约定。</w:t>
      </w:r>
    </w:p>
    <w:p w14:paraId="4FAC0B74">
      <w:pPr>
        <w:adjustRightInd w:val="0"/>
        <w:spacing w:line="360" w:lineRule="auto"/>
        <w:ind w:left="479" w:leftChars="228" w:firstLine="0" w:firstLineChars="0"/>
        <w:jc w:val="left"/>
        <w:textAlignment w:val="baseline"/>
        <w:rPr>
          <w:rFonts w:hint="eastAsia" w:ascii="宋体" w:hAnsi="宋体" w:eastAsia="宋体" w:cs="宋体"/>
          <w:b/>
          <w:sz w:val="24"/>
          <w:szCs w:val="24"/>
        </w:rPr>
      </w:pPr>
      <w:r>
        <w:rPr>
          <w:rFonts w:hint="eastAsia" w:ascii="宋体" w:hAnsi="宋体" w:eastAsia="宋体" w:cs="宋体"/>
          <w:bCs/>
          <w:sz w:val="24"/>
          <w:szCs w:val="24"/>
        </w:rPr>
        <w:t>4.因乙方原因造成甲方不能接收信息，乙方在接到甲方通知后，应及时排除故障。</w:t>
      </w:r>
      <w:r>
        <w:rPr>
          <w:rFonts w:hint="eastAsia" w:ascii="宋体" w:hAnsi="宋体" w:eastAsia="宋体" w:cs="宋体"/>
          <w:b/>
          <w:sz w:val="24"/>
          <w:szCs w:val="24"/>
        </w:rPr>
        <w:t>第</w:t>
      </w:r>
      <w:r>
        <w:rPr>
          <w:rFonts w:hint="eastAsia" w:ascii="宋体" w:hAnsi="宋体" w:cs="宋体"/>
          <w:b/>
          <w:sz w:val="24"/>
          <w:szCs w:val="24"/>
          <w:lang w:val="en-US" w:eastAsia="zh-CN"/>
        </w:rPr>
        <w:t>八</w:t>
      </w:r>
      <w:r>
        <w:rPr>
          <w:rFonts w:hint="eastAsia" w:ascii="宋体" w:hAnsi="宋体" w:eastAsia="宋体" w:cs="宋体"/>
          <w:b/>
          <w:sz w:val="24"/>
          <w:szCs w:val="24"/>
        </w:rPr>
        <w:t>条  违约责任</w:t>
      </w:r>
      <w:bookmarkEnd w:id="26"/>
    </w:p>
    <w:p w14:paraId="1E1DBB2C">
      <w:pPr>
        <w:adjustRightInd w:val="0"/>
        <w:spacing w:line="360" w:lineRule="auto"/>
        <w:ind w:firstLine="480" w:firstLineChars="200"/>
        <w:jc w:val="left"/>
        <w:textAlignment w:val="baseline"/>
        <w:rPr>
          <w:rFonts w:hint="eastAsia" w:ascii="宋体" w:hAnsi="宋体" w:eastAsia="宋体" w:cs="宋体"/>
          <w:bCs/>
          <w:sz w:val="24"/>
          <w:szCs w:val="24"/>
        </w:rPr>
      </w:pPr>
      <w:bookmarkStart w:id="27" w:name="_Toc26448"/>
      <w:r>
        <w:rPr>
          <w:rFonts w:hint="eastAsia" w:ascii="宋体" w:hAnsi="宋体" w:eastAsia="宋体" w:cs="宋体"/>
          <w:bCs/>
          <w:sz w:val="24"/>
          <w:szCs w:val="24"/>
        </w:rPr>
        <w:t>1.甲乙双方任何一方未履行本协议项下的任何一项条款，均被视为违约。守约方有权依照本协议的相关条款追究违约方的违约责任，或依照法律的规定追究其责任。</w:t>
      </w:r>
    </w:p>
    <w:p w14:paraId="3135C9D7">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2.守约方有权向违约方发出书面通知要求违约方立即停止违约行为。若在守约方发出上述通知后</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rPr>
        <w:t>日内，违约方未对其违约行为进行补救，守约方有权在向违约方发出书面解除通知后解除本协议。</w:t>
      </w:r>
    </w:p>
    <w:p w14:paraId="43F5C47B">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3.如果因违约方的违约行为造成守约方损失的，该违约方应当向守约方支付违约金，为本协议项下服务费用的</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rPr>
        <w:t>%，不足以弥补损失的，应当补足差额。</w:t>
      </w:r>
    </w:p>
    <w:p w14:paraId="58F36C86">
      <w:pPr>
        <w:spacing w:line="360" w:lineRule="auto"/>
        <w:ind w:left="426"/>
        <w:outlineLvl w:val="1"/>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cs="宋体"/>
          <w:b/>
          <w:sz w:val="24"/>
          <w:szCs w:val="24"/>
          <w:lang w:val="en-US" w:eastAsia="zh-CN"/>
        </w:rPr>
        <w:t>九</w:t>
      </w:r>
      <w:r>
        <w:rPr>
          <w:rFonts w:hint="eastAsia" w:ascii="宋体" w:hAnsi="宋体" w:eastAsia="宋体" w:cs="宋体"/>
          <w:b/>
          <w:sz w:val="24"/>
          <w:szCs w:val="24"/>
        </w:rPr>
        <w:t>条  不可抗力事件处理</w:t>
      </w:r>
      <w:bookmarkEnd w:id="27"/>
    </w:p>
    <w:p w14:paraId="4F80A9CE">
      <w:pPr>
        <w:adjustRightInd w:val="0"/>
        <w:spacing w:line="360" w:lineRule="auto"/>
        <w:ind w:firstLine="480" w:firstLineChars="200"/>
        <w:jc w:val="left"/>
        <w:textAlignment w:val="baseline"/>
        <w:rPr>
          <w:rFonts w:hint="eastAsia" w:ascii="宋体" w:hAnsi="宋体" w:eastAsia="宋体" w:cs="宋体"/>
          <w:bCs/>
          <w:sz w:val="24"/>
          <w:szCs w:val="24"/>
        </w:rPr>
      </w:pPr>
      <w:bookmarkStart w:id="28" w:name="_Toc20448"/>
      <w:bookmarkStart w:id="29" w:name="_Toc225654649"/>
      <w:bookmarkStart w:id="30" w:name="_Toc232492933"/>
      <w:bookmarkStart w:id="31" w:name="_Toc241833908"/>
      <w:bookmarkStart w:id="32" w:name="_Toc211911353"/>
      <w:bookmarkStart w:id="33" w:name="_Toc185395254"/>
      <w:bookmarkStart w:id="34" w:name="_Toc237145411"/>
      <w:bookmarkStart w:id="35" w:name="_Toc286993792"/>
      <w:bookmarkStart w:id="36" w:name="_Toc239568423"/>
      <w:bookmarkStart w:id="37" w:name="_Toc225244857"/>
      <w:bookmarkStart w:id="38" w:name="_Toc238984980"/>
      <w:bookmarkStart w:id="39" w:name="_Toc212019599"/>
      <w:bookmarkStart w:id="40" w:name="_Toc251768867"/>
      <w:bookmarkStart w:id="41" w:name="_Toc225670756"/>
      <w:bookmarkStart w:id="42" w:name="_Toc211854454"/>
      <w:bookmarkStart w:id="43" w:name="_Toc239233919"/>
      <w:bookmarkStart w:id="44" w:name="_Toc247334846"/>
      <w:r>
        <w:rPr>
          <w:rFonts w:hint="eastAsia" w:ascii="宋体" w:hAnsi="宋体" w:eastAsia="宋体" w:cs="宋体"/>
          <w:bCs/>
          <w:sz w:val="24"/>
          <w:szCs w:val="24"/>
        </w:rPr>
        <w:t>1.本协议中的不可抗力事件是指不能预见、不能避免且不能克服的客观情况。在本协议的履行过程中若发生不可抗力事件，根据不可抗力的影响，遇到不可抗力事件的一方（“受阻方”）可以部分或全部免除责任。</w:t>
      </w:r>
    </w:p>
    <w:p w14:paraId="5B18DED8">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2.不可抗力事件发生时，受阻方应立即通知对方，并在不可抗力事件发生的</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rPr>
        <w:t>个工作日内提供有关该事件的公证文书和书面说明，书面说明中应包括对延迟履行或部分履行本协议的原因说明。</w:t>
      </w:r>
    </w:p>
    <w:p w14:paraId="3C2BC46B">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3.如果不可抗力事件的影响持续达</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rPr>
        <w:t>日或以上时，双方应根据该事件对本协议履行的影响程度协商对本协议的修改或终止。</w:t>
      </w:r>
    </w:p>
    <w:p w14:paraId="27177CF8">
      <w:pPr>
        <w:widowControl/>
        <w:spacing w:before="120" w:beforeLines="50" w:after="120" w:afterLines="50" w:line="360" w:lineRule="auto"/>
        <w:ind w:firstLine="482" w:firstLineChars="200"/>
        <w:jc w:val="left"/>
        <w:outlineLvl w:val="1"/>
        <w:rPr>
          <w:rFonts w:hint="eastAsia" w:ascii="宋体" w:hAnsi="宋体" w:eastAsia="宋体" w:cs="宋体"/>
          <w:kern w:val="0"/>
          <w:sz w:val="24"/>
          <w:szCs w:val="24"/>
        </w:rPr>
      </w:pPr>
      <w:r>
        <w:rPr>
          <w:rFonts w:hint="eastAsia" w:ascii="宋体" w:hAnsi="宋体" w:eastAsia="宋体" w:cs="宋体"/>
          <w:b/>
          <w:sz w:val="24"/>
          <w:szCs w:val="24"/>
        </w:rPr>
        <w:t xml:space="preserve">第十条  </w:t>
      </w:r>
      <w:r>
        <w:rPr>
          <w:rFonts w:hint="eastAsia" w:ascii="宋体" w:hAnsi="宋体" w:eastAsia="宋体" w:cs="宋体"/>
          <w:b/>
          <w:kern w:val="0"/>
          <w:sz w:val="24"/>
          <w:szCs w:val="24"/>
        </w:rPr>
        <w:t>合同的变更和终止</w:t>
      </w:r>
      <w:bookmarkEnd w:id="28"/>
    </w:p>
    <w:p w14:paraId="0E681250">
      <w:pPr>
        <w:adjustRightInd w:val="0"/>
        <w:spacing w:line="360" w:lineRule="auto"/>
        <w:ind w:firstLine="480" w:firstLineChars="200"/>
        <w:jc w:val="left"/>
        <w:textAlignment w:val="baseline"/>
        <w:rPr>
          <w:rFonts w:hint="eastAsia" w:ascii="宋体" w:hAnsi="宋体" w:eastAsia="宋体" w:cs="宋体"/>
          <w:bCs/>
          <w:sz w:val="24"/>
          <w:szCs w:val="24"/>
        </w:rPr>
      </w:pPr>
      <w:bookmarkStart w:id="45" w:name="_Toc32004"/>
      <w:r>
        <w:rPr>
          <w:rFonts w:hint="eastAsia" w:ascii="宋体" w:hAnsi="宋体" w:eastAsia="宋体" w:cs="宋体"/>
          <w:bCs/>
          <w:sz w:val="24"/>
          <w:szCs w:val="24"/>
        </w:rPr>
        <w:t>1.本协议期间，任何一方提出变更或解除本协议，需经双方书面同意，且至少提前30日以书面形式通知另一方，另一方收到通知后应在</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rPr>
        <w:t>个工作日内书面回复意见。</w:t>
      </w:r>
    </w:p>
    <w:p w14:paraId="67E6D322">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2.对本协议的任何修改补充或添加附件等，必须通过书面方式进行，经双方签章后有效，且上述文件应为本协议不可分割的组成部分。</w:t>
      </w:r>
    </w:p>
    <w:p w14:paraId="490FE508">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3.本协议因前述原因发生变更、解除，乙方为甲方提供服务已发生部分涉及费用不予退还。</w:t>
      </w:r>
    </w:p>
    <w:p w14:paraId="2EC3EAAD">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4.本协议为打印文本，任何手写修改条款非经甲乙双方在修改处盖章均不生效。</w:t>
      </w:r>
    </w:p>
    <w:p w14:paraId="7798B281">
      <w:pPr>
        <w:spacing w:line="360" w:lineRule="auto"/>
        <w:ind w:left="426"/>
        <w:outlineLvl w:val="1"/>
        <w:rPr>
          <w:rFonts w:hint="eastAsia" w:ascii="宋体" w:hAnsi="宋体" w:eastAsia="宋体" w:cs="宋体"/>
          <w:b/>
          <w:sz w:val="24"/>
          <w:szCs w:val="24"/>
        </w:rPr>
      </w:pPr>
      <w:r>
        <w:rPr>
          <w:rFonts w:hint="eastAsia" w:ascii="宋体" w:hAnsi="宋体" w:eastAsia="宋体" w:cs="宋体"/>
          <w:b/>
          <w:sz w:val="24"/>
          <w:szCs w:val="24"/>
        </w:rPr>
        <w:t>第十</w:t>
      </w:r>
      <w:r>
        <w:rPr>
          <w:rFonts w:hint="eastAsia" w:ascii="宋体" w:hAnsi="宋体" w:cs="宋体"/>
          <w:b/>
          <w:sz w:val="24"/>
          <w:szCs w:val="24"/>
          <w:lang w:val="en-US" w:eastAsia="zh-CN"/>
        </w:rPr>
        <w:t>一</w:t>
      </w:r>
      <w:r>
        <w:rPr>
          <w:rFonts w:hint="eastAsia" w:ascii="宋体" w:hAnsi="宋体" w:eastAsia="宋体" w:cs="宋体"/>
          <w:b/>
          <w:sz w:val="24"/>
          <w:szCs w:val="24"/>
        </w:rPr>
        <w:t>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1C0ECA20">
      <w:pPr>
        <w:adjustRightInd w:val="0"/>
        <w:spacing w:line="360" w:lineRule="auto"/>
        <w:ind w:firstLine="480" w:firstLineChars="200"/>
        <w:jc w:val="left"/>
        <w:textAlignment w:val="baseline"/>
        <w:rPr>
          <w:rFonts w:hint="eastAsia" w:ascii="宋体" w:hAnsi="宋体" w:eastAsia="宋体" w:cs="宋体"/>
          <w:bCs/>
          <w:sz w:val="24"/>
          <w:szCs w:val="24"/>
        </w:rPr>
      </w:pPr>
      <w:bookmarkStart w:id="46" w:name="_Toc282696231"/>
      <w:bookmarkStart w:id="47" w:name="_Toc239568424"/>
      <w:bookmarkStart w:id="48" w:name="_Toc212019600"/>
      <w:bookmarkStart w:id="49" w:name="_Toc286993793"/>
      <w:bookmarkStart w:id="50" w:name="_Toc247334847"/>
      <w:bookmarkStart w:id="51" w:name="_Toc225670757"/>
      <w:bookmarkStart w:id="52" w:name="_Toc225244858"/>
      <w:bookmarkStart w:id="53" w:name="_Toc185395255"/>
      <w:bookmarkStart w:id="54" w:name="_Toc232492934"/>
      <w:bookmarkStart w:id="55" w:name="_Toc241833909"/>
      <w:bookmarkStart w:id="56" w:name="_Toc211854455"/>
      <w:bookmarkStart w:id="57" w:name="_Toc238984981"/>
      <w:bookmarkStart w:id="58" w:name="_Toc251768868"/>
      <w:bookmarkStart w:id="59" w:name="_Toc211911354"/>
      <w:bookmarkStart w:id="60" w:name="_Toc237145412"/>
      <w:bookmarkStart w:id="61" w:name="_Toc283019219"/>
      <w:bookmarkStart w:id="62" w:name="_Toc239233920"/>
      <w:bookmarkStart w:id="63" w:name="_Toc225654650"/>
      <w:bookmarkStart w:id="64" w:name="_Toc28433"/>
      <w:r>
        <w:rPr>
          <w:rFonts w:hint="eastAsia" w:ascii="宋体" w:hAnsi="宋体" w:eastAsia="宋体" w:cs="宋体"/>
          <w:bCs/>
          <w:sz w:val="24"/>
          <w:szCs w:val="24"/>
        </w:rPr>
        <w:t>1.本协议的解释和执行适用中华人民共和国(不包括香港、澳门特别行政区及台湾地区)法律，凡因执行本协议所发生的或有关的一切争议，甲乙双方应通过友好协商解决。</w:t>
      </w:r>
    </w:p>
    <w:p w14:paraId="541899B5">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2.如果在协商开始后</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rPr>
        <w:t>个工作日内或双方书面同意的更长期限内没能达成一致意见，任何一方均有权向协议履行地有管辖权的人民法院提起诉讼。</w:t>
      </w:r>
    </w:p>
    <w:p w14:paraId="08BF3F59">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3.诉讼期间，除提起诉讼的争议事项外，双方应继续执行协议的其余部分。</w:t>
      </w:r>
    </w:p>
    <w:p w14:paraId="0A189F0F">
      <w:pPr>
        <w:spacing w:line="360" w:lineRule="auto"/>
        <w:ind w:left="426"/>
        <w:outlineLvl w:val="1"/>
        <w:rPr>
          <w:rFonts w:hint="eastAsia" w:ascii="宋体" w:hAnsi="宋体" w:eastAsia="宋体" w:cs="宋体"/>
          <w:b/>
          <w:sz w:val="24"/>
          <w:szCs w:val="24"/>
        </w:rPr>
      </w:pPr>
      <w:r>
        <w:rPr>
          <w:rFonts w:hint="eastAsia" w:ascii="宋体" w:hAnsi="宋体" w:eastAsia="宋体" w:cs="宋体"/>
          <w:b/>
          <w:sz w:val="24"/>
          <w:szCs w:val="24"/>
        </w:rPr>
        <w:t>第十</w:t>
      </w:r>
      <w:r>
        <w:rPr>
          <w:rFonts w:hint="eastAsia" w:ascii="宋体" w:hAnsi="宋体" w:cs="宋体"/>
          <w:b/>
          <w:sz w:val="24"/>
          <w:szCs w:val="24"/>
          <w:lang w:val="en-US" w:eastAsia="zh-CN"/>
        </w:rPr>
        <w:t>二</w:t>
      </w:r>
      <w:r>
        <w:rPr>
          <w:rFonts w:hint="eastAsia" w:ascii="宋体" w:hAnsi="宋体" w:eastAsia="宋体" w:cs="宋体"/>
          <w:b/>
          <w:sz w:val="24"/>
          <w:szCs w:val="24"/>
        </w:rPr>
        <w:t>条  合同</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Pr>
          <w:rFonts w:hint="eastAsia" w:ascii="宋体" w:hAnsi="宋体" w:eastAsia="宋体" w:cs="宋体"/>
          <w:b/>
          <w:sz w:val="24"/>
          <w:szCs w:val="24"/>
        </w:rPr>
        <w:t>生效及其他</w:t>
      </w:r>
      <w:bookmarkEnd w:id="64"/>
    </w:p>
    <w:p w14:paraId="0B5983E8">
      <w:pPr>
        <w:pStyle w:val="8"/>
        <w:spacing w:line="360" w:lineRule="auto"/>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1、合同经双方法定代表人（单位负责人）或授权委托代理人签字并加盖单位公章并由采购代理机构盖章后生效。</w:t>
      </w:r>
    </w:p>
    <w:p w14:paraId="2111918E">
      <w:pPr>
        <w:pStyle w:val="8"/>
        <w:spacing w:line="360" w:lineRule="auto"/>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0298AF0D">
      <w:pPr>
        <w:pStyle w:val="8"/>
        <w:spacing w:line="360" w:lineRule="auto"/>
        <w:rPr>
          <w:rFonts w:hint="eastAsia" w:ascii="宋体" w:hAnsi="宋体" w:eastAsia="宋体" w:cs="宋体"/>
          <w:sz w:val="24"/>
          <w:szCs w:val="24"/>
          <w:highlight w:val="yellow"/>
        </w:rPr>
      </w:pPr>
      <w:r>
        <w:rPr>
          <w:rFonts w:hint="eastAsia" w:ascii="宋体" w:hAnsi="宋体" w:eastAsia="宋体" w:cs="宋体"/>
          <w:sz w:val="24"/>
          <w:szCs w:val="24"/>
        </w:rPr>
        <w:t>3、</w:t>
      </w: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lang w:val="en-US" w:eastAsia="zh-CN"/>
        </w:rPr>
        <w:t>陆</w:t>
      </w:r>
      <w:r>
        <w:rPr>
          <w:rFonts w:hint="eastAsia" w:ascii="宋体" w:hAnsi="宋体" w:eastAsia="宋体" w:cs="宋体"/>
          <w:sz w:val="24"/>
          <w:szCs w:val="24"/>
          <w:highlight w:val="none"/>
        </w:rPr>
        <w:t>份，自双方签章之日起起效。甲方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份，政府采购代理机构壹份，</w:t>
      </w:r>
      <w:r>
        <w:rPr>
          <w:rFonts w:hint="eastAsia" w:ascii="宋体" w:hAnsi="宋体" w:eastAsia="宋体" w:cs="宋体"/>
          <w:color w:val="auto"/>
          <w:sz w:val="24"/>
          <w:szCs w:val="24"/>
          <w:highlight w:val="none"/>
        </w:rPr>
        <w:t>同级财政部门备案壹份</w:t>
      </w:r>
      <w:r>
        <w:rPr>
          <w:rFonts w:hint="eastAsia" w:ascii="宋体" w:hAnsi="宋体" w:eastAsia="宋体" w:cs="宋体"/>
          <w:sz w:val="24"/>
          <w:szCs w:val="24"/>
          <w:highlight w:val="none"/>
        </w:rPr>
        <w:t>，具有同等法律效力。</w:t>
      </w:r>
    </w:p>
    <w:p w14:paraId="778FCCB7">
      <w:pPr>
        <w:pStyle w:val="3"/>
        <w:rPr>
          <w:rFonts w:hint="eastAsia" w:ascii="宋体" w:hAnsi="宋体" w:eastAsia="宋体" w:cs="宋体"/>
          <w:sz w:val="24"/>
          <w:szCs w:val="24"/>
        </w:rPr>
      </w:pPr>
    </w:p>
    <w:p w14:paraId="48544DB3">
      <w:pPr>
        <w:rPr>
          <w:rFonts w:hint="eastAsia" w:ascii="宋体" w:hAnsi="宋体" w:eastAsia="宋体" w:cs="宋体"/>
          <w:sz w:val="24"/>
          <w:szCs w:val="24"/>
        </w:rPr>
      </w:pPr>
      <w:r>
        <w:rPr>
          <w:rFonts w:hint="eastAsia" w:ascii="宋体" w:hAnsi="宋体" w:eastAsia="宋体" w:cs="宋体"/>
          <w:sz w:val="24"/>
          <w:szCs w:val="24"/>
        </w:rPr>
        <w:br w:type="page"/>
      </w:r>
    </w:p>
    <w:p w14:paraId="718CC2FC">
      <w:pPr>
        <w:pStyle w:val="3"/>
        <w:ind w:firstLine="240" w:firstLineChars="1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此页无正文</w:t>
      </w:r>
      <w:r>
        <w:rPr>
          <w:rFonts w:hint="eastAsia" w:ascii="宋体" w:hAnsi="宋体" w:eastAsia="宋体" w:cs="宋体"/>
          <w:sz w:val="24"/>
          <w:szCs w:val="24"/>
          <w:lang w:eastAsia="zh-CN"/>
        </w:rPr>
        <w:t>）</w:t>
      </w:r>
    </w:p>
    <w:p w14:paraId="35E3FFDC">
      <w:pPr>
        <w:pStyle w:val="3"/>
        <w:ind w:firstLine="240" w:firstLineChars="100"/>
        <w:rPr>
          <w:rFonts w:hint="eastAsia" w:ascii="宋体" w:hAnsi="宋体" w:eastAsia="宋体" w:cs="宋体"/>
          <w:sz w:val="24"/>
          <w:szCs w:val="24"/>
          <w:lang w:eastAsia="zh-CN"/>
        </w:rPr>
      </w:pPr>
    </w:p>
    <w:p w14:paraId="34BF2F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甲方：   （盖章）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   （盖章）</w:t>
      </w:r>
    </w:p>
    <w:p w14:paraId="762817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eastAsia="zh-CN"/>
        </w:rPr>
        <w:t>授权代表</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cs="宋体"/>
          <w:sz w:val="24"/>
          <w:szCs w:val="24"/>
          <w:lang w:eastAsia="zh-CN"/>
        </w:rPr>
        <w:t>授权代表</w:t>
      </w:r>
      <w:r>
        <w:rPr>
          <w:rFonts w:hint="eastAsia" w:ascii="宋体" w:hAnsi="宋体" w:eastAsia="宋体" w:cs="宋体"/>
          <w:sz w:val="24"/>
          <w:szCs w:val="24"/>
        </w:rPr>
        <w:t>：</w:t>
      </w:r>
    </w:p>
    <w:p w14:paraId="38AEF9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    址：                           地    址：</w:t>
      </w:r>
    </w:p>
    <w:p w14:paraId="5366B7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开户银行：                           开户银行：</w:t>
      </w:r>
    </w:p>
    <w:p w14:paraId="243516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账号：                               账号：</w:t>
      </w:r>
    </w:p>
    <w:p w14:paraId="022CCA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    话：                           电    话：</w:t>
      </w:r>
    </w:p>
    <w:p w14:paraId="00272F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传    真：                           传    真：</w:t>
      </w:r>
    </w:p>
    <w:p w14:paraId="21CA002E">
      <w:pPr>
        <w:pStyle w:val="9"/>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zh-CN"/>
        </w:rPr>
      </w:pPr>
      <w:r>
        <w:rPr>
          <w:rFonts w:hint="eastAsia" w:ascii="宋体" w:hAnsi="宋体" w:eastAsia="宋体" w:cs="宋体"/>
          <w:sz w:val="24"/>
          <w:szCs w:val="24"/>
        </w:rPr>
        <w:t xml:space="preserve">签约日期：  年  月  日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签约日期：  年  月  日</w:t>
      </w:r>
    </w:p>
    <w:p w14:paraId="1C934ACC">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p>
    <w:p w14:paraId="3F3EE798">
      <w:pPr>
        <w:rPr>
          <w:rFonts w:hint="default" w:ascii="宋体" w:hAnsi="宋体" w:eastAsia="宋体" w:cs="宋体"/>
          <w:lang w:val="en-US" w:eastAsia="zh-CN"/>
        </w:rPr>
      </w:pPr>
    </w:p>
    <w:p w14:paraId="195A8187">
      <w:pPr>
        <w:rPr>
          <w:rFonts w:hint="eastAsia" w:ascii="宋体" w:hAnsi="宋体" w:eastAsia="宋体" w:cs="宋体"/>
        </w:rPr>
      </w:pPr>
    </w:p>
    <w:p w14:paraId="4213DE8B"/>
    <w:sectPr>
      <w:footerReference r:id="rId3" w:type="default"/>
      <w:pgSz w:w="11906" w:h="16838"/>
      <w:pgMar w:top="1247" w:right="1247" w:bottom="1247"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5B03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701BE4">
                          <w:pPr>
                            <w:pStyle w:val="4"/>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6</w:t>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4701BE4">
                    <w:pPr>
                      <w:pStyle w:val="4"/>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6</w:t>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0MDg4OTJlYWE5YjE3NmEyMzNkZmE3Njg1MTdmOWIifQ=="/>
  </w:docVars>
  <w:rsids>
    <w:rsidRoot w:val="00000000"/>
    <w:rsid w:val="0EB72B9C"/>
    <w:rsid w:val="13B224EC"/>
    <w:rsid w:val="22E3016D"/>
    <w:rsid w:val="29FF591C"/>
    <w:rsid w:val="414D3EAF"/>
    <w:rsid w:val="48CB2FCD"/>
    <w:rsid w:val="5B0D5B7E"/>
    <w:rsid w:val="5C6A7685"/>
    <w:rsid w:val="687D4E24"/>
    <w:rsid w:val="73131B06"/>
    <w:rsid w:val="79AA481A"/>
    <w:rsid w:val="7AFE5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jc w:val="left"/>
      <w:outlineLvl w:val="3"/>
    </w:pPr>
    <w:rPr>
      <w:rFonts w:ascii="Arial" w:hAnsi="Arial" w:cs="Arial"/>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sz w:val="21"/>
      <w:szCs w:val="21"/>
    </w:rPr>
  </w:style>
  <w:style w:type="paragraph" w:styleId="4">
    <w:name w:val="footer"/>
    <w:basedOn w:val="1"/>
    <w:qFormat/>
    <w:uiPriority w:val="0"/>
    <w:pPr>
      <w:tabs>
        <w:tab w:val="center" w:pos="4153"/>
        <w:tab w:val="right" w:pos="8306"/>
      </w:tabs>
      <w:snapToGrid w:val="0"/>
      <w:jc w:val="left"/>
    </w:pPr>
    <w:rPr>
      <w:sz w:val="18"/>
      <w:szCs w:val="20"/>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styleId="8">
    <w:name w:val="List Paragraph"/>
    <w:basedOn w:val="1"/>
    <w:qFormat/>
    <w:uiPriority w:val="0"/>
    <w:pPr>
      <w:ind w:firstLine="420" w:firstLineChars="200"/>
    </w:pPr>
    <w:rPr>
      <w:sz w:val="18"/>
      <w:szCs w:val="18"/>
    </w:rPr>
  </w:style>
  <w:style w:type="paragraph" w:customStyle="1" w:styleId="9">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2440</Words>
  <Characters>2476</Characters>
  <Lines>0</Lines>
  <Paragraphs>0</Paragraphs>
  <TotalTime>2</TotalTime>
  <ScaleCrop>false</ScaleCrop>
  <LinksUpToDate>false</LinksUpToDate>
  <CharactersWithSpaces>2859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2024-05-14T12:09:00Z</dcterms:created>
  <dc:creator>Administrator</dc:creator>
  <cp:lastModifiedBy>绿军装的梦</cp:lastModifiedBy>
  <dcterms:modified xsi:type="dcterms:W3CDTF">2025-05-28T11:25:46Z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C18EB6472C5F4BF389B870146F66A73F_13</vt:lpwstr>
  </property>
  <property fmtid="{D5CDD505-2E9C-101B-9397-08002B2CF9AE}" pid="4" name="KSOTemplateDocerSaveRecord">
    <vt:lpwstr>eyJoZGlkIjoiOTQ2ZmFlNjVkZWJjZGE4NTBhMjA0MTZiMDVkZmQ2YTQiLCJ1c2VySWQiOiIyNTUwMzE5MDEifQ==</vt:lpwstr>
  </property>
</Properties>
</file>