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版本号：ZRD-2025XAZC53020250529001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日常运行项目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ZRD-2025XAZC530</w:t>
      </w:r>
      <w:r>
        <w:br/>
      </w:r>
      <w:r>
        <w:br/>
      </w:r>
      <w:r>
        <w:br/>
      </w:r>
    </w:p>
    <w:p>
      <w:pPr>
        <w:pStyle w:val="null3"/>
        <w:jc w:val="center"/>
        <w:outlineLvl w:val="2"/>
      </w:pPr>
      <w:r>
        <w:rPr>
          <w:rFonts w:ascii="仿宋_GB2312" w:hAnsi="仿宋_GB2312" w:cs="仿宋_GB2312" w:eastAsia="仿宋_GB2312"/>
          <w:sz w:val="28"/>
          <w:b/>
        </w:rPr>
        <w:t>西安市小王涧国有生态林场</w:t>
      </w:r>
    </w:p>
    <w:p>
      <w:pPr>
        <w:pStyle w:val="null3"/>
        <w:jc w:val="center"/>
        <w:outlineLvl w:val="2"/>
      </w:pPr>
      <w:r>
        <w:rPr>
          <w:rFonts w:ascii="仿宋_GB2312" w:hAnsi="仿宋_GB2312" w:cs="仿宋_GB2312" w:eastAsia="仿宋_GB2312"/>
          <w:sz w:val="28"/>
          <w:b/>
        </w:rPr>
        <w:t>中瑞达项目管理有限公司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中瑞达项目管理有限公司</w:t>
      </w:r>
      <w:r>
        <w:rPr>
          <w:rFonts w:ascii="仿宋_GB2312" w:hAnsi="仿宋_GB2312" w:cs="仿宋_GB2312" w:eastAsia="仿宋_GB2312"/>
        </w:rPr>
        <w:t>（以下简称“代理机构”）受</w:t>
      </w:r>
      <w:r>
        <w:rPr>
          <w:rFonts w:ascii="仿宋_GB2312" w:hAnsi="仿宋_GB2312" w:cs="仿宋_GB2312" w:eastAsia="仿宋_GB2312"/>
        </w:rPr>
        <w:t>西安市小王涧国有生态林场</w:t>
      </w:r>
      <w:r>
        <w:rPr>
          <w:rFonts w:ascii="仿宋_GB2312" w:hAnsi="仿宋_GB2312" w:cs="仿宋_GB2312" w:eastAsia="仿宋_GB2312"/>
        </w:rPr>
        <w:t>委托，拟对</w:t>
      </w:r>
      <w:r>
        <w:rPr>
          <w:rFonts w:ascii="仿宋_GB2312" w:hAnsi="仿宋_GB2312" w:cs="仿宋_GB2312" w:eastAsia="仿宋_GB2312"/>
        </w:rPr>
        <w:t>日常运行项目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ZRD-2025XAZC530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日常运行项目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采购甲醇燃料109吨，保证林区管护站甲醇灶和冬季甲醇燃料锅炉正常运转。</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采购包1（日常运行项目）：属于专门面向中小企业采购。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1、法定代表人授权书及被授权人身份证复印件：法定代表人授权书及被授权人身份证复印件 ( 法定代表人直接参加投标，须提供法定代表人 身份证明及身份证复印件）；</w:t>
      </w:r>
    </w:p>
    <w:p>
      <w:pPr>
        <w:pStyle w:val="null3"/>
      </w:pPr>
      <w:r>
        <w:rPr>
          <w:rFonts w:ascii="仿宋_GB2312" w:hAnsi="仿宋_GB2312" w:cs="仿宋_GB2312" w:eastAsia="仿宋_GB2312"/>
        </w:rPr>
        <w:t>2、信用记录：供应商不得为“信用中国”网站（www.creditchi na.gov.cn）中列入失信被执行人和重大税收违 法失信主体名单的供应商，不得为中国政府采 购网（www.ccgp.gov.cn）政府采购严重违法 失信行为记录名单中被财政部门禁止参加政府 采购活动的供应商。以开标当天查询截图为准 ;</w:t>
      </w:r>
    </w:p>
    <w:p>
      <w:pPr>
        <w:pStyle w:val="null3"/>
      </w:pPr>
      <w:r>
        <w:rPr>
          <w:rFonts w:ascii="仿宋_GB2312" w:hAnsi="仿宋_GB2312" w:cs="仿宋_GB2312" w:eastAsia="仿宋_GB2312"/>
        </w:rPr>
        <w:t>3、本项目不接受联合体磋商：本项目不接受联合体磋商</w:t>
      </w:r>
    </w:p>
    <w:p>
      <w:pPr>
        <w:pStyle w:val="null3"/>
      </w:pPr>
      <w:r>
        <w:rPr>
          <w:rFonts w:ascii="仿宋_GB2312" w:hAnsi="仿宋_GB2312" w:cs="仿宋_GB2312" w:eastAsia="仿宋_GB2312"/>
        </w:rPr>
        <w:t>4、供应商具有危险化学品经营许可证：供应商具有危险化学品经营许可证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西安市小王涧国有生态林场</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周至县马召镇107省道黑河桥东路北（西安市小王涧国有生态林场）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029-87110539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中瑞达项目管理有限公司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西安市经济技术开发区凤城五路与明光路十字西北角凤城五路105号恒石国际B座902室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昌工、郭工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029-86263596、15039820627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张宏生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采购包1：372,700.00元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代理服务费收费标准：招标代理服务费的收取参见国家计委颁布的《招标代理服务收费管理暂 行办法》 (计价格[2002]1980号) 和(发改办价格[2003]857号) 中服务类收费收取，在领取成交通知书时向招标代理机构一次性缴纳。 代理服务费缴纳账号： 单 位 名 称：中瑞达项目管理有限公司 开户行名称：中国建设银行股份有限公司西安海璟国际支行 账 号：61050174860000000509 备 注：(项目编号）代理服务费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西安市小王涧国有生态林场</w:t>
      </w:r>
      <w:r>
        <w:rPr>
          <w:rFonts w:ascii="仿宋_GB2312" w:hAnsi="仿宋_GB2312" w:cs="仿宋_GB2312" w:eastAsia="仿宋_GB2312"/>
        </w:rPr>
        <w:t>和</w:t>
      </w:r>
      <w:r>
        <w:rPr>
          <w:rFonts w:ascii="仿宋_GB2312" w:hAnsi="仿宋_GB2312" w:cs="仿宋_GB2312" w:eastAsia="仿宋_GB2312"/>
        </w:rPr>
        <w:t>中瑞达项目管理有限公司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西安市小王涧国有生态林场</w:t>
      </w:r>
      <w:r>
        <w:rPr>
          <w:rFonts w:ascii="仿宋_GB2312" w:hAnsi="仿宋_GB2312" w:cs="仿宋_GB2312" w:eastAsia="仿宋_GB2312"/>
        </w:rPr>
        <w:t>负责解释。除上述磋商文件内容，其他内容由</w:t>
      </w:r>
      <w:r>
        <w:rPr>
          <w:rFonts w:ascii="仿宋_GB2312" w:hAnsi="仿宋_GB2312" w:cs="仿宋_GB2312" w:eastAsia="仿宋_GB2312"/>
        </w:rPr>
        <w:t>中瑞达项目管理有限公司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西安市小王涧国有生态林场</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中瑞达项目管理有限公司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中瑞达项目管理有限公司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中瑞达项目管理有限公司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中瑞达项目管理有限公司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联系人：昌工</w:t>
      </w:r>
    </w:p>
    <w:p>
      <w:pPr>
        <w:pStyle w:val="null3"/>
      </w:pPr>
      <w:r>
        <w:rPr>
          <w:rFonts w:ascii="仿宋_GB2312" w:hAnsi="仿宋_GB2312" w:cs="仿宋_GB2312" w:eastAsia="仿宋_GB2312"/>
        </w:rPr>
        <w:t>联系电话：029-86263596、15039820627</w:t>
      </w:r>
    </w:p>
    <w:p>
      <w:pPr>
        <w:pStyle w:val="null3"/>
      </w:pPr>
      <w:r>
        <w:rPr>
          <w:rFonts w:ascii="仿宋_GB2312" w:hAnsi="仿宋_GB2312" w:cs="仿宋_GB2312" w:eastAsia="仿宋_GB2312"/>
        </w:rPr>
        <w:t>地址：西安市经济技术开发区凤城五路与明光路十字西北角凤城五路105号恒石国际B座902室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采购甲醇燃料109吨，保证林区管护站甲醇灶和冬季甲醇燃料锅炉正常运转。</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372,700.00</w:t>
      </w:r>
    </w:p>
    <w:p>
      <w:pPr>
        <w:pStyle w:val="null3"/>
      </w:pPr>
      <w:r>
        <w:rPr>
          <w:rFonts w:ascii="仿宋_GB2312" w:hAnsi="仿宋_GB2312" w:cs="仿宋_GB2312" w:eastAsia="仿宋_GB2312"/>
        </w:rPr>
        <w:t>采购包最高限价（元）: 372,700.00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甲醇供应109吨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372,700.00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标的名称：甲醇供应109吨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150"/>
              <w:ind w:left="390"/>
              <w:jc w:val="left"/>
            </w:pPr>
            <w:r>
              <w:rPr>
                <w:rFonts w:ascii="仿宋_GB2312" w:hAnsi="仿宋_GB2312" w:cs="仿宋_GB2312" w:eastAsia="仿宋_GB2312"/>
                <w:sz w:val="19"/>
                <w:color w:val="000000"/>
              </w:rPr>
              <w:t>技术要求：</w:t>
            </w:r>
          </w:p>
          <w:p>
            <w:pPr>
              <w:pStyle w:val="null3"/>
              <w:ind w:firstLine="400"/>
              <w:jc w:val="both"/>
            </w:pPr>
            <w:r>
              <w:rPr>
                <w:rFonts w:ascii="仿宋_GB2312" w:hAnsi="仿宋_GB2312" w:cs="仿宋_GB2312" w:eastAsia="仿宋_GB2312"/>
                <w:sz w:val="20"/>
                <w:color w:val="000000"/>
              </w:rPr>
              <w:t>甲醇燃料运输和装卸由投标供应商负责。投标供应商具备下述运输条件的，可以自行运输；不具备运</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输条件的，应当委托第三方专业运输单位。无论自行运输还是委托运输，投标供应商都应保证甲醇燃料</w:t>
            </w:r>
            <w:r>
              <w:rPr>
                <w:rFonts w:ascii="仿宋_GB2312" w:hAnsi="仿宋_GB2312" w:cs="仿宋_GB2312" w:eastAsia="仿宋_GB2312"/>
                <w:sz w:val="20"/>
                <w:color w:val="000000"/>
              </w:rPr>
              <w:t>能安全、准时运输到采购人指定地点，并承担运输和装卸过程中的一切风险和责任。</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投标供应商应提供《运输和装卸安全承诺书》。</w:t>
            </w:r>
          </w:p>
          <w:p>
            <w:pPr>
              <w:pStyle w:val="null3"/>
              <w:ind w:firstLine="400"/>
              <w:jc w:val="both"/>
            </w:pPr>
            <w:r>
              <w:rPr>
                <w:rFonts w:ascii="仿宋_GB2312" w:hAnsi="仿宋_GB2312" w:cs="仿宋_GB2312" w:eastAsia="仿宋_GB2312"/>
                <w:sz w:val="20"/>
                <w:color w:val="000000"/>
              </w:rPr>
              <w:t>2.负责运输的单位必须具备《危险化学品道路运输许可证》。</w:t>
            </w:r>
          </w:p>
          <w:p>
            <w:pPr>
              <w:pStyle w:val="null3"/>
              <w:ind w:firstLine="40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运输车辆：必须使用符合国家相关法规和标准的危险化学品运输专用车辆运送甲醇燃料。运输车辆必须具备在水源地管理部门备案的条件，在响应文件中提交备案承诺书；所列运输车辆专用车辆注册在运输单位名下，技术要求应当符合《道路运输车辆技术管理规</w:t>
            </w:r>
            <w:r>
              <w:rPr>
                <w:rFonts w:ascii="仿宋_GB2312" w:hAnsi="仿宋_GB2312" w:cs="仿宋_GB2312" w:eastAsia="仿宋_GB2312"/>
                <w:sz w:val="20"/>
                <w:color w:val="000000"/>
              </w:rPr>
              <w:t>定》有关规定，提供全部车辆《道路危险货物非营运运输证》和运输单位名下的车辆行驶证扫描件。</w:t>
            </w:r>
          </w:p>
          <w:p>
            <w:pPr>
              <w:pStyle w:val="null3"/>
              <w:ind w:firstLine="400"/>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运输人员：为该项目运输至少配备一组驾驶员（须具有《道路危险货物运输驾驶员从业资格证》）及押运人员（须具备《道路危险货物运输押运人员从业资格证》）。</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00"/>
              <w:jc w:val="both"/>
            </w:pPr>
            <w:r>
              <w:rPr>
                <w:rFonts w:ascii="仿宋_GB2312" w:hAnsi="仿宋_GB2312" w:cs="仿宋_GB2312" w:eastAsia="仿宋_GB2312"/>
                <w:sz w:val="20"/>
                <w:color w:val="000000"/>
              </w:rPr>
              <w:t>服务要求</w:t>
            </w:r>
          </w:p>
          <w:p>
            <w:pPr>
              <w:pStyle w:val="null3"/>
              <w:ind w:firstLine="400"/>
              <w:jc w:val="both"/>
            </w:pPr>
            <w:r>
              <w:rPr>
                <w:rFonts w:ascii="仿宋_GB2312" w:hAnsi="仿宋_GB2312" w:cs="仿宋_GB2312" w:eastAsia="仿宋_GB2312"/>
                <w:sz w:val="20"/>
                <w:color w:val="000000"/>
              </w:rPr>
              <w:t>1.供应商具有危险化学品经营许可证。</w:t>
            </w:r>
          </w:p>
          <w:p>
            <w:pPr>
              <w:pStyle w:val="null3"/>
              <w:ind w:firstLine="400"/>
              <w:jc w:val="both"/>
            </w:pPr>
            <w:r>
              <w:rPr>
                <w:rFonts w:ascii="仿宋_GB2312" w:hAnsi="仿宋_GB2312" w:cs="仿宋_GB2312" w:eastAsia="仿宋_GB2312"/>
                <w:sz w:val="20"/>
                <w:color w:val="000000"/>
              </w:rPr>
              <w:t>2.供应商提供的甲醇燃料符合国家标准。</w:t>
            </w:r>
          </w:p>
          <w:p>
            <w:pPr>
              <w:pStyle w:val="null3"/>
              <w:ind w:firstLine="400"/>
              <w:jc w:val="both"/>
            </w:pPr>
            <w:r>
              <w:rPr>
                <w:rFonts w:ascii="仿宋_GB2312" w:hAnsi="仿宋_GB2312" w:cs="仿宋_GB2312" w:eastAsia="仿宋_GB2312"/>
                <w:sz w:val="20"/>
                <w:color w:val="000000"/>
              </w:rPr>
              <w:t>3.因供应商运输和装卸过程中未按照相关安全规定运输燃料，导致燃料爆炸或者泄露的，责任由供应商全部承担。</w:t>
            </w:r>
          </w:p>
          <w:p>
            <w:pPr>
              <w:pStyle w:val="null3"/>
              <w:jc w:val="left"/>
            </w:pPr>
            <w:r>
              <w:rPr>
                <w:rFonts w:ascii="仿宋_GB2312" w:hAnsi="仿宋_GB2312" w:cs="仿宋_GB2312" w:eastAsia="仿宋_GB2312"/>
                <w:sz w:val="20"/>
                <w:color w:val="000000"/>
              </w:rPr>
              <w:t>4.合同有效期内，免费为采购人提供锅炉、灶具维修维护和供暖管道清洗服务。</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ind w:firstLine="400"/>
              <w:jc w:val="both"/>
            </w:pPr>
            <w:r>
              <w:rPr>
                <w:rFonts w:ascii="仿宋_GB2312" w:hAnsi="仿宋_GB2312" w:cs="仿宋_GB2312" w:eastAsia="仿宋_GB2312"/>
                <w:sz w:val="20"/>
                <w:color w:val="000000"/>
              </w:rPr>
              <w:t>商务要求</w:t>
            </w:r>
          </w:p>
          <w:p>
            <w:pPr>
              <w:pStyle w:val="null3"/>
              <w:ind w:firstLine="400"/>
              <w:jc w:val="both"/>
            </w:pPr>
            <w:r>
              <w:rPr>
                <w:rFonts w:ascii="仿宋_GB2312" w:hAnsi="仿宋_GB2312" w:cs="仿宋_GB2312" w:eastAsia="仿宋_GB2312"/>
                <w:sz w:val="20"/>
                <w:color w:val="000000"/>
              </w:rPr>
              <w:t>（一）供货期限：自合同签订之日起至</w:t>
            </w:r>
            <w:r>
              <w:rPr>
                <w:rFonts w:ascii="仿宋_GB2312" w:hAnsi="仿宋_GB2312" w:cs="仿宋_GB2312" w:eastAsia="仿宋_GB2312"/>
                <w:sz w:val="20"/>
                <w:color w:val="000000"/>
              </w:rPr>
              <w:t>2025年底。</w:t>
            </w:r>
          </w:p>
          <w:p>
            <w:pPr>
              <w:pStyle w:val="null3"/>
              <w:ind w:firstLine="400"/>
              <w:jc w:val="both"/>
            </w:pPr>
            <w:r>
              <w:rPr>
                <w:rFonts w:ascii="仿宋_GB2312" w:hAnsi="仿宋_GB2312" w:cs="仿宋_GB2312" w:eastAsia="仿宋_GB2312"/>
                <w:sz w:val="20"/>
                <w:color w:val="000000"/>
              </w:rPr>
              <w:t>（二）交货时间：分批供货，接到甲方订单通知</w:t>
            </w:r>
            <w:r>
              <w:rPr>
                <w:rFonts w:ascii="仿宋_GB2312" w:hAnsi="仿宋_GB2312" w:cs="仿宋_GB2312" w:eastAsia="仿宋_GB2312"/>
                <w:sz w:val="20"/>
                <w:color w:val="000000"/>
              </w:rPr>
              <w:t>5个日历日内配送到指定基层站。</w:t>
            </w:r>
          </w:p>
          <w:p>
            <w:pPr>
              <w:pStyle w:val="null3"/>
              <w:jc w:val="left"/>
            </w:pPr>
            <w:r>
              <w:rPr>
                <w:rFonts w:ascii="仿宋_GB2312" w:hAnsi="仿宋_GB2312" w:cs="仿宋_GB2312" w:eastAsia="仿宋_GB2312"/>
                <w:sz w:val="20"/>
                <w:color w:val="000000"/>
              </w:rPr>
              <w:t>（三）款项结算：合同签订后，达到付款条件起</w:t>
            </w:r>
            <w:r>
              <w:rPr>
                <w:rFonts w:ascii="仿宋_GB2312" w:hAnsi="仿宋_GB2312" w:cs="仿宋_GB2312" w:eastAsia="仿宋_GB2312"/>
                <w:sz w:val="20"/>
                <w:color w:val="000000"/>
              </w:rPr>
              <w:t>7日内，支付合同总金额的 40.00%。供货期结束，采购人验收完成后，至2025年12月底，达到付款条件起7日内，支付合同总金额的 60.00%。</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color w:val="000000"/>
              </w:rPr>
              <w:t>质量验收标准或规范：满足现行的国家标准或国家行政部门颁布的法律法规、规章制度以及现行的行业标准。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满足现行的国家标准或国家行政部门颁布的法律法规、规章制度以及现行的行业标准。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供货期结束，采购人验收完成后,至2025年12月底</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（一）未按合同要求提供燃料或燃料质量不能满足合同要求，采购人应当将供应商违约的情况以及拟采取的措施以书面形 式报政府采购监管部门，根据政府采购监管部门的处理意见，采购人有权依据《民法典》有关条款及合同约定终止合同，并要 求供应商承担违约责任。同时，政府采购监管部门有权依据《政府采购法》及相关法律法规对供应商的违法行为进行相应的处 罚。 （二）其他未尽事宜，按《民法典》中的相关条款执行。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 提供统一社会信用代码的营业执照；事业法人 应提供事业单位法人证、组织机构代码证等证 明文件；其他组织应提供合法证明文 件； 自然 人提供身份证明文件）； 2、具有良好的商业信 誉和健全的财务会计制度（提供2023年度或2024年度财务审计报告或磋商前6个月内银行资信证明或财政 部门认可的政府采购专业担保机构出具的投标 担保函）； 3、具有履行合同所必需的设备和专 业技术能力的书面声明（格式详见附件）； 4、 具有依法缴纳税收和社会保障资金的良好记录 （提供磋商前12个月内任意一个月份的社保和缴纳 税收的证明，依法不需要缴纳社会保障资金、免税或无须缴纳税款的供应商，应提供相关证 明文件)； 5、参加政府采购活动前 3 年内在经 营活动中没有重大违法记录的书面声明（格式详见附件）。</w:t>
            </w:r>
          </w:p>
        </w:tc>
        <w:tc>
          <w:tcPr>
            <w:tcW w:type="dxa" w:w="1661"/>
          </w:tcPr>
          <w:p>
            <w:pPr>
              <w:pStyle w:val="null3"/>
            </w:pPr>
            <w:r>
              <w:rPr>
                <w:rFonts w:ascii="仿宋_GB2312" w:hAnsi="仿宋_GB2312" w:cs="仿宋_GB2312" w:eastAsia="仿宋_GB2312"/>
              </w:rPr>
              <w:t>一、资格审查资料docx.docx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 ( 提供2023年度财务审计报告或磋商前6个月内 银行资信证明或财政部门认可的政府采购专业 担保机构出具的投标担保函）；供应 商需在项 目电子化交易系统中按要求上传相 应证明文件 并进行电子签章。</w:t>
            </w:r>
          </w:p>
        </w:tc>
        <w:tc>
          <w:tcPr>
            <w:tcW w:type="dxa" w:w="1661"/>
          </w:tcPr>
          <w:p>
            <w:pPr>
              <w:pStyle w:val="null3"/>
            </w:pPr>
            <w:r>
              <w:rPr>
                <w:rFonts w:ascii="仿宋_GB2312" w:hAnsi="仿宋_GB2312" w:cs="仿宋_GB2312" w:eastAsia="仿宋_GB2312"/>
              </w:rPr>
              <w:t>一、资格审查资料docx.docx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 《响应函》完成承诺并进行电子签章。</w:t>
            </w:r>
          </w:p>
        </w:tc>
        <w:tc>
          <w:tcPr>
            <w:tcW w:type="dxa" w:w="1661"/>
          </w:tcPr>
          <w:p>
            <w:pPr>
              <w:pStyle w:val="null3"/>
            </w:pPr>
            <w:r>
              <w:rPr>
                <w:rFonts w:ascii="仿宋_GB2312" w:hAnsi="仿宋_GB2312" w:cs="仿宋_GB2312" w:eastAsia="仿宋_GB2312"/>
              </w:rPr>
              <w:t>一、资格审查资料docx.docx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法定代表人授权书及被授权人身份证复印件</w:t>
            </w:r>
          </w:p>
        </w:tc>
        <w:tc>
          <w:tcPr>
            <w:tcW w:type="dxa" w:w="3322"/>
          </w:tcPr>
          <w:p>
            <w:pPr>
              <w:pStyle w:val="null3"/>
            </w:pPr>
            <w:r>
              <w:rPr>
                <w:rFonts w:ascii="仿宋_GB2312" w:hAnsi="仿宋_GB2312" w:cs="仿宋_GB2312" w:eastAsia="仿宋_GB2312"/>
              </w:rPr>
              <w:t>法定代表人授权书及被授权人身份证复印件 ( 法定代表人直接参加投标，须提供法定代表人 身份证明及身份证复印件）；</w:t>
            </w:r>
          </w:p>
        </w:tc>
        <w:tc>
          <w:tcPr>
            <w:tcW w:type="dxa" w:w="1661"/>
          </w:tcPr>
          <w:p>
            <w:pPr>
              <w:pStyle w:val="null3"/>
            </w:pPr>
            <w:r>
              <w:rPr>
                <w:rFonts w:ascii="仿宋_GB2312" w:hAnsi="仿宋_GB2312" w:cs="仿宋_GB2312" w:eastAsia="仿宋_GB2312"/>
              </w:rPr>
              <w:t>一、资格审查资料docx.docx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 na.gov.cn）中列入失信被执行人和重大税收违 法失信主体名单的供应商，不得为中国政府采 购网（www.ccgp.gov.cn）政府采购严重违法 失信行为记录名单中被财政部门禁止参加政府 采购活动的供应商。以开标当天查询截图为准 ;</w:t>
            </w:r>
          </w:p>
        </w:tc>
        <w:tc>
          <w:tcPr>
            <w:tcW w:type="dxa" w:w="1661"/>
          </w:tcPr>
          <w:p>
            <w:pPr>
              <w:pStyle w:val="null3"/>
            </w:pPr>
            <w:r>
              <w:rPr>
                <w:rFonts w:ascii="仿宋_GB2312" w:hAnsi="仿宋_GB2312" w:cs="仿宋_GB2312" w:eastAsia="仿宋_GB2312"/>
              </w:rPr>
              <w:t>一、资格审查资料docx.docx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一、资格审查资料docx.docx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供应商具有危险化学品经营许可证</w:t>
            </w:r>
          </w:p>
        </w:tc>
        <w:tc>
          <w:tcPr>
            <w:tcW w:type="dxa" w:w="3322"/>
          </w:tcPr>
          <w:p>
            <w:pPr>
              <w:pStyle w:val="null3"/>
            </w:pPr>
            <w:r>
              <w:rPr>
                <w:rFonts w:ascii="仿宋_GB2312" w:hAnsi="仿宋_GB2312" w:cs="仿宋_GB2312" w:eastAsia="仿宋_GB2312"/>
              </w:rPr>
              <w:t>供应商具有危险化学品经营许可证</w:t>
            </w:r>
          </w:p>
        </w:tc>
        <w:tc>
          <w:tcPr>
            <w:tcW w:type="dxa" w:w="1661"/>
          </w:tcPr>
          <w:p>
            <w:pPr>
              <w:pStyle w:val="null3"/>
            </w:pPr>
            <w:r>
              <w:rPr>
                <w:rFonts w:ascii="仿宋_GB2312" w:hAnsi="仿宋_GB2312" w:cs="仿宋_GB2312" w:eastAsia="仿宋_GB2312"/>
              </w:rPr>
              <w:t>一、资格审查资料docx.docx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响应文件上需要法定代表人 (单位负责人) 或其委托代理人的签名或盖章、需要单位加盖公章的地方需盖章齐全</w:t>
            </w:r>
          </w:p>
        </w:tc>
        <w:tc>
          <w:tcPr>
            <w:tcW w:type="dxa" w:w="1661"/>
          </w:tcPr>
          <w:p>
            <w:pPr>
              <w:pStyle w:val="null3"/>
            </w:pPr>
            <w:r>
              <w:rPr>
                <w:rFonts w:ascii="仿宋_GB2312" w:hAnsi="仿宋_GB2312" w:cs="仿宋_GB2312" w:eastAsia="仿宋_GB2312"/>
              </w:rPr>
              <w:t>响应文件封面 一、资格审查资料docx.docx 三、服务方案.docx 中小企业声明函 残疾人福利性单位声明函 标的清单 报价表 响应函 四、承诺书docx.docx 监狱企业的证明文件 二、商务及技术响应偏离表docx.docx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且报价不超过第二章“供应商须知”前附表规定 的采购预算金额或最高限价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不存在下列规定的任何一种情形，有下列情形 之一的，视为供应商相互恶意串通，响应文件 无效： (1) 不同供应商的响应文件由同一单位 或者个人编制； (2) 不同供应商委托同一单位 或者个人办理磋商事宜； (3) 不同供应商的响 应文件载明的项目管理成员为同一人； (4) 不 同供应商的响应文件异常一致或者磋商报价呈 规律性差异； (5) 不同供应商的响应文件相互 混装；</w:t>
            </w:r>
          </w:p>
        </w:tc>
        <w:tc>
          <w:tcPr>
            <w:tcW w:type="dxa" w:w="1661"/>
          </w:tcPr>
          <w:p>
            <w:pPr>
              <w:pStyle w:val="null3"/>
            </w:pPr>
            <w:r>
              <w:rPr>
                <w:rFonts w:ascii="仿宋_GB2312" w:hAnsi="仿宋_GB2312" w:cs="仿宋_GB2312" w:eastAsia="仿宋_GB2312"/>
              </w:rPr>
              <w:t>三、服务方案.docx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供货期限</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 响应文件格式” 的规定 (不得因文件排序 等非实质性的格式、形式问题限制和影响供应 商响应</w:t>
            </w:r>
          </w:p>
        </w:tc>
        <w:tc>
          <w:tcPr>
            <w:tcW w:type="dxa" w:w="1661"/>
          </w:tcPr>
          <w:p>
            <w:pPr>
              <w:pStyle w:val="null3"/>
            </w:pPr>
            <w:r>
              <w:rPr>
                <w:rFonts w:ascii="仿宋_GB2312" w:hAnsi="仿宋_GB2312" w:cs="仿宋_GB2312" w:eastAsia="仿宋_GB2312"/>
              </w:rPr>
              <w:t>响应文件封面 一、资格审查资料docx.docx 三、服务方案.docx 中小企业声明函 残疾人福利性单位声明函 标的清单 报价表 响应函 四、承诺书docx.docx 监狱企业的证明文件 二、商务及技术响应偏离表docx.docx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提供完整产品技术方案，产品技术 参数清晰明了，整体指标符合或优 于磋商文件要求。 (7-10分]：产品 技术参数描述清晰，技术指标优于 采购文件要求； (4-7分]：产品技 术参数描述较为清晰，技术指标满 足采购文件要求； [0-4分]：产品 技术参数描述笼统，技术指标基本 满足采购文件要求。</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三、服务方案.docx</w:t>
            </w:r>
          </w:p>
        </w:tc>
      </w:tr>
      <w:tr>
        <w:tc>
          <w:tcPr>
            <w:tcW w:type="dxa" w:w="831"/>
            <w:vMerge/>
          </w:tcPr>
          <w:p/>
        </w:tc>
        <w:tc>
          <w:tcPr>
            <w:tcW w:type="dxa" w:w="1661"/>
          </w:tcPr>
          <w:p>
            <w:pPr>
              <w:pStyle w:val="null3"/>
            </w:pPr>
            <w:r>
              <w:rPr>
                <w:rFonts w:ascii="仿宋_GB2312" w:hAnsi="仿宋_GB2312" w:cs="仿宋_GB2312" w:eastAsia="仿宋_GB2312"/>
              </w:rPr>
              <w:t>货源组织及配送方案</w:t>
            </w:r>
          </w:p>
        </w:tc>
        <w:tc>
          <w:tcPr>
            <w:tcW w:type="dxa" w:w="2492"/>
          </w:tcPr>
          <w:p>
            <w:pPr>
              <w:pStyle w:val="null3"/>
            </w:pPr>
            <w:r>
              <w:rPr>
                <w:rFonts w:ascii="仿宋_GB2312" w:hAnsi="仿宋_GB2312" w:cs="仿宋_GB2312" w:eastAsia="仿宋_GB2312"/>
              </w:rPr>
              <w:t>根据供应商提供的“货源组织及配 送方案” 的合理性、科学性、可行 性内容，对项目货源渠道、质量及 标准控制保障措施及货源配送方案 、组织计划进行评审。 (10-15分] ：供货渠道多样，服务实施方案完 善，质量及标准控制严格，供货时 间、配送流程及方案科学完善，技 术指标完全满足或者优于采购文件 要求； (5-10分]：供货渠道单一， 服务实施方案较为完善，质量及标 准控制较为严格，供货时间、配送 流程及方案较为科学完善，技术指 标能够满足采购文件要求； [0-5分 ]：供货渠道单一，服务实施方案欠 完善，质量及标准控制欠严格，供 货时间、配送流程及方案欠完善， 技术指标勉强满足或难以满足采购 文件要求。</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针对本项目的质量保证措施，按其响应程度进行对比打分： 1、质量保证措施详细全面得（7-10]分； 2、质量保证措施基本可行，内容较为全面得[3-7]分； 3、质量保证措施不全面得[1-3）分。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提供项目管理服务及运输配送应急 处置方案，包括但不限于突发事件 、事故处理等，同时能积极配合采 购人使用需求，能够在必要时提供 应急服务响应。 (7-10分]：各类情 况考虑较为周全，措施得当，应急 响应高效。 (4-7分]：各类情况尚 能提供一定的应对措施，基本能够 保障应急所需。 [0-4分]：各类情 况考虑欠妥，难以保障应急需求。</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三、服务方案.docx</w:t>
            </w:r>
          </w:p>
        </w:tc>
      </w:tr>
      <w:tr>
        <w:tc>
          <w:tcPr>
            <w:tcW w:type="dxa" w:w="831"/>
            <w:vMerge/>
          </w:tcPr>
          <w:p/>
        </w:tc>
        <w:tc>
          <w:tcPr>
            <w:tcW w:type="dxa" w:w="1661"/>
          </w:tcPr>
          <w:p>
            <w:pPr>
              <w:pStyle w:val="null3"/>
            </w:pPr>
            <w:r>
              <w:rPr>
                <w:rFonts w:ascii="仿宋_GB2312" w:hAnsi="仿宋_GB2312" w:cs="仿宋_GB2312" w:eastAsia="仿宋_GB2312"/>
              </w:rPr>
              <w:t>锅炉、灶具、管道清 洗售后服务承诺及维修措施</w:t>
            </w:r>
          </w:p>
        </w:tc>
        <w:tc>
          <w:tcPr>
            <w:tcW w:type="dxa" w:w="2492"/>
          </w:tcPr>
          <w:p>
            <w:pPr>
              <w:pStyle w:val="null3"/>
            </w:pPr>
            <w:r>
              <w:rPr>
                <w:rFonts w:ascii="仿宋_GB2312" w:hAnsi="仿宋_GB2312" w:cs="仿宋_GB2312" w:eastAsia="仿宋_GB2312"/>
              </w:rPr>
              <w:t>1、售后服务承诺及维修措施方案 详细、科学、合理、全面的得（7- 10]分； 2、售后服务承诺及维修 措施方案基本详细、科学、合理、全面的得[3-7]分； 3、售后服务承 诺及维修措施方案差影响履约的不 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三、服务方案.docx</w:t>
            </w:r>
          </w:p>
        </w:tc>
      </w:tr>
      <w:tr>
        <w:tc>
          <w:tcPr>
            <w:tcW w:type="dxa" w:w="831"/>
            <w:vMerge/>
          </w:tcPr>
          <w:p/>
        </w:tc>
        <w:tc>
          <w:tcPr>
            <w:tcW w:type="dxa" w:w="1661"/>
          </w:tcPr>
          <w:p>
            <w:pPr>
              <w:pStyle w:val="null3"/>
            </w:pPr>
            <w:r>
              <w:rPr>
                <w:rFonts w:ascii="仿宋_GB2312" w:hAnsi="仿宋_GB2312" w:cs="仿宋_GB2312" w:eastAsia="仿宋_GB2312"/>
              </w:rPr>
              <w:t>投入车辆、人员</w:t>
            </w:r>
          </w:p>
        </w:tc>
        <w:tc>
          <w:tcPr>
            <w:tcW w:type="dxa" w:w="2492"/>
          </w:tcPr>
          <w:p>
            <w:pPr>
              <w:pStyle w:val="null3"/>
            </w:pPr>
            <w:r>
              <w:rPr>
                <w:rFonts w:ascii="仿宋_GB2312" w:hAnsi="仿宋_GB2312" w:cs="仿宋_GB2312" w:eastAsia="仿宋_GB2312"/>
              </w:rPr>
              <w:t>1、可供本项目调配车辆（均已办 理《道路危险货物非营运运输证》 ) , 2辆以上，每多一辆得1分，最 高得5分。 2、可供本项目调配的 驾驶人员（须具有《道路危险货物 运输驾驶员从业资格证》）和押运 人员（须具备《道路危险货物运输 押运人员从业资格证》），两组以 上，每多一组得1分，最高得5分。 （人员认定以供应商为其缴纳的20 24年5月1日以来至少3个月的社保 证明扫描件为准）。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三、服务方案.docx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提供2022年1月1日以来类似项目 的业绩证明文件（即合同及相应的 验收文件，二者同时出具方为有效 ) , 评审时以业绩证明文件扫描件 为计分依据，每出具一份业绩证明 文件得1分，满分5分。（投标文 件中的业绩证明文件扫描件须加盖 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三、服务方案.docx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 的供应商的价格为磋商基准价得30 分，各供应商的最后报价得分按下 列公式计算：（磋商基准价/最后磋 商报价） ×30%×100分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详见附件：一、资格审查资料docx.docx</w:t>
      </w:r>
    </w:p>
    <w:p>
      <w:pPr>
        <w:pStyle w:val="null3"/>
        <w:ind w:firstLine="960"/>
      </w:pPr>
      <w:r>
        <w:rPr>
          <w:rFonts w:ascii="仿宋_GB2312" w:hAnsi="仿宋_GB2312" w:cs="仿宋_GB2312" w:eastAsia="仿宋_GB2312"/>
        </w:rPr>
        <w:t>详见附件：二、商务及技术响应偏离表docx.docx</w:t>
      </w:r>
    </w:p>
    <w:p>
      <w:pPr>
        <w:pStyle w:val="null3"/>
        <w:ind w:firstLine="960"/>
      </w:pPr>
      <w:r>
        <w:rPr>
          <w:rFonts w:ascii="仿宋_GB2312" w:hAnsi="仿宋_GB2312" w:cs="仿宋_GB2312" w:eastAsia="仿宋_GB2312"/>
        </w:rPr>
        <w:t>详见附件：三、服务方案.docx</w:t>
      </w:r>
    </w:p>
    <w:p>
      <w:pPr>
        <w:pStyle w:val="null3"/>
        <w:ind w:firstLine="960"/>
      </w:pPr>
      <w:r>
        <w:rPr>
          <w:rFonts w:ascii="仿宋_GB2312" w:hAnsi="仿宋_GB2312" w:cs="仿宋_GB2312" w:eastAsia="仿宋_GB2312"/>
        </w:rPr>
        <w:t>详见附件：四、承诺书docx.docx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