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版本号：SHMZ08（2025）第027号20250604002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2025年骑行服项目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SHMZ08（2025）第027号</w:t>
      </w:r>
      <w:r>
        <w:br/>
      </w:r>
      <w:r>
        <w:br/>
      </w:r>
      <w:r>
        <w:br/>
      </w:r>
    </w:p>
    <w:p>
      <w:pPr>
        <w:pStyle w:val="null3"/>
        <w:jc w:val="center"/>
        <w:outlineLvl w:val="2"/>
      </w:pPr>
      <w:r>
        <w:rPr>
          <w:rFonts w:ascii="仿宋_GB2312" w:hAnsi="仿宋_GB2312" w:cs="仿宋_GB2312" w:eastAsia="仿宋_GB2312"/>
          <w:sz w:val="28"/>
          <w:b/>
        </w:rPr>
        <w:t>西安市公安局交通管理支队</w:t>
      </w:r>
    </w:p>
    <w:p>
      <w:pPr>
        <w:pStyle w:val="null3"/>
        <w:jc w:val="center"/>
        <w:outlineLvl w:val="2"/>
      </w:pPr>
      <w:r>
        <w:rPr>
          <w:rFonts w:ascii="仿宋_GB2312" w:hAnsi="仿宋_GB2312" w:cs="仿宋_GB2312" w:eastAsia="仿宋_GB2312"/>
          <w:sz w:val="28"/>
          <w:b/>
        </w:rPr>
        <w:t>陕西华茂建设监理咨询有限公司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陕西华茂建设监理咨询有限公司</w:t>
      </w:r>
      <w:r>
        <w:rPr>
          <w:rFonts w:ascii="仿宋_GB2312" w:hAnsi="仿宋_GB2312" w:cs="仿宋_GB2312" w:eastAsia="仿宋_GB2312"/>
        </w:rPr>
        <w:t>（以下简称“代理机构”）受</w:t>
      </w:r>
      <w:r>
        <w:rPr>
          <w:rFonts w:ascii="仿宋_GB2312" w:hAnsi="仿宋_GB2312" w:cs="仿宋_GB2312" w:eastAsia="仿宋_GB2312"/>
        </w:rPr>
        <w:t>西安市公安局交通管理支队</w:t>
      </w:r>
      <w:r>
        <w:rPr>
          <w:rFonts w:ascii="仿宋_GB2312" w:hAnsi="仿宋_GB2312" w:cs="仿宋_GB2312" w:eastAsia="仿宋_GB2312"/>
        </w:rPr>
        <w:t>委托，拟对</w:t>
      </w:r>
      <w:r>
        <w:rPr>
          <w:rFonts w:ascii="仿宋_GB2312" w:hAnsi="仿宋_GB2312" w:cs="仿宋_GB2312" w:eastAsia="仿宋_GB2312"/>
        </w:rPr>
        <w:t>2025年骑行服项目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SHMZ08（2025）第027号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2025年骑行服项目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照交管支队组建铁骑队伍各项要求，需为铁骑队员配备规格统一的骑行装备。经统计，支队基层大队前期配发的骑行装备仍有缺口，另有一部分铁骑队员骑行装备自然损耗严重，急需更换。为保障一线铁骑队员人身安全，展示西安交警良好形象，需采购一批骑行装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采购包1（2025年骑行服项目）：属于专门面向中小企业采购。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2、法定代表人授权书：法定代表人直接参加投标的，须出具法定代表人身份证，并与营业执照上信息一致；法定代表人授权代表参加投标的，须同时出具法定代表人授权书及授权代表身份证；</w:t>
      </w:r>
    </w:p>
    <w:p>
      <w:pPr>
        <w:pStyle w:val="null3"/>
      </w:pPr>
      <w:r>
        <w:rPr>
          <w:rFonts w:ascii="仿宋_GB2312" w:hAnsi="仿宋_GB2312" w:cs="仿宋_GB2312" w:eastAsia="仿宋_GB2312"/>
        </w:rPr>
        <w:t>3、税收缴纳证明：提供截止至开标时间前一年内任意一个月的缴纳凭据（任意税种），依法免税的投标人应提供相关文件证明；</w:t>
      </w:r>
    </w:p>
    <w:p>
      <w:pPr>
        <w:pStyle w:val="null3"/>
      </w:pPr>
      <w:r>
        <w:rPr>
          <w:rFonts w:ascii="仿宋_GB2312" w:hAnsi="仿宋_GB2312" w:cs="仿宋_GB2312" w:eastAsia="仿宋_GB2312"/>
        </w:rPr>
        <w:t>4、社会保障资金缴纳证明：提供截止至开标时间前一年内任意一个月的社保缴纳凭据或社保机构开具的社会保险参保缴纳情况证明，依法不需要缴纳社会保障资金的投标人应提供相关证明；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财务状况报告：提供审计事务所出具的2023年度或2024年度的财务报告（成立时间至提交投标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w:t>
      </w:r>
    </w:p>
    <w:p>
      <w:pPr>
        <w:pStyle w:val="null3"/>
      </w:pPr>
      <w:r>
        <w:rPr>
          <w:rFonts w:ascii="仿宋_GB2312" w:hAnsi="仿宋_GB2312" w:cs="仿宋_GB2312" w:eastAsia="仿宋_GB2312"/>
        </w:rPr>
        <w:t>6、说明及承诺：提供具有履行合同所必需的设备和专业技术能力的说明及承诺；</w:t>
      </w:r>
    </w:p>
    <w:p>
      <w:pPr>
        <w:pStyle w:val="null3"/>
      </w:pPr>
      <w:r>
        <w:rPr>
          <w:rFonts w:ascii="仿宋_GB2312" w:hAnsi="仿宋_GB2312" w:cs="仿宋_GB2312" w:eastAsia="仿宋_GB2312"/>
        </w:rPr>
        <w:t>7、书面声明：提供参加政府采购活动前3年内在经营活动中没有重大违法记录的书面声明；</w:t>
      </w:r>
    </w:p>
    <w:p>
      <w:pPr>
        <w:pStyle w:val="null3"/>
      </w:pPr>
      <w:r>
        <w:rPr>
          <w:rFonts w:ascii="仿宋_GB2312" w:hAnsi="仿宋_GB2312" w:cs="仿宋_GB2312" w:eastAsia="仿宋_GB2312"/>
        </w:rPr>
        <w:t>8、信用记录：不得为“信用中国”网站(http：//www.creditchina.gov.cn)列入“失信被执行人或重大税收违法案件当事人名单或政府采购严重违法失信行为记录名单”的投标人；不得为中国政府采购网(http：//www.ccgp.gov.cn)“政府采购严重违法失信行为记录名单”中的投标人。（根据财库【2019】38号文规定，此项由代理机构在开标截止日当天在“信用中国”网站和中国政府采购网站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西安市公安局交通管理支队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太白南路222号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029-86755029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陕西华茂建设监理咨询有限公司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西安市新城区东六路民安大厦二期五楼526室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029-89246265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采购包1：1,931,260.00元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说明：1、履约保函：甲方向乙方支付项目款项前，乙方须向甲方提供合同总价款5％的履约保函，保函期限1年。 2、履约保函退还：乙方合同主要义务履行完毕，验收合格，在免费质量保障期内，符合质量保障要求，双方无异议，履约保函到期自动退回乙方。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单位在领取中标通知书前，须向采购代理机构一次性支付代理服务费。2、招标代理服务费：以预算金额为基数，参照国家计委颁发的《招标代理服务收费管理暂行办法》（计价格[2002]1980号）和国家发展和改革委员会办公厅颁发的《关于招标代理服务收费有关问题的通知》（发改办价格[2003]857号）的有关规定执行。（开户名称：陕西华茂建设监理咨询有限公司，开户银行：建行西安解放路支行，账户：61001713600052503482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西安市公安局交通管理支队</w:t>
      </w:r>
      <w:r>
        <w:rPr>
          <w:rFonts w:ascii="仿宋_GB2312" w:hAnsi="仿宋_GB2312" w:cs="仿宋_GB2312" w:eastAsia="仿宋_GB2312"/>
        </w:rPr>
        <w:t>和</w:t>
      </w:r>
      <w:r>
        <w:rPr>
          <w:rFonts w:ascii="仿宋_GB2312" w:hAnsi="仿宋_GB2312" w:cs="仿宋_GB2312" w:eastAsia="仿宋_GB2312"/>
        </w:rPr>
        <w:t>陕西华茂建设监理咨询有限公司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西安市公安局交通管理支队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陕西华茂建设监理咨询有限公司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西安市公安局交通管理支队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陕西华茂建设监理咨询有限公司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西安市公安局交通管理支队</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陕西华茂建设监理咨询有限公司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陕西华茂建设监理咨询有限公司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联系人：刘瑛</w:t>
      </w:r>
    </w:p>
    <w:p>
      <w:pPr>
        <w:pStyle w:val="null3"/>
      </w:pPr>
      <w:r>
        <w:rPr>
          <w:rFonts w:ascii="仿宋_GB2312" w:hAnsi="仿宋_GB2312" w:cs="仿宋_GB2312" w:eastAsia="仿宋_GB2312"/>
        </w:rPr>
        <w:t>联系电话：029-89246265</w:t>
      </w:r>
    </w:p>
    <w:p>
      <w:pPr>
        <w:pStyle w:val="null3"/>
      </w:pPr>
      <w:r>
        <w:rPr>
          <w:rFonts w:ascii="仿宋_GB2312" w:hAnsi="仿宋_GB2312" w:cs="仿宋_GB2312" w:eastAsia="仿宋_GB2312"/>
        </w:rPr>
        <w:t>地址：西安市新城区东六路民安大厦二期五楼526室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交管支队组建铁骑队伍各项要求，需为铁骑队员配备规格统一的骑行装备。经统计，支队基层大队前期配发的骑行装备仍有缺口，另有一部分铁骑队员骑行装备自然损耗严重，急需更换。为保障一线铁骑队员人身安全，展示西安交警良好形象，需采购一批骑行装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1,931,260.00</w:t>
      </w:r>
    </w:p>
    <w:p>
      <w:pPr>
        <w:pStyle w:val="null3"/>
      </w:pPr>
      <w:r>
        <w:rPr>
          <w:rFonts w:ascii="仿宋_GB2312" w:hAnsi="仿宋_GB2312" w:cs="仿宋_GB2312" w:eastAsia="仿宋_GB2312"/>
        </w:rPr>
        <w:t>采购包最高限价（元）: 1,931,260.00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骑行服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1,931,260.00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标的名称：骑行服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详见采购需求附件。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按需配送，每次接到采购人下单后5日内。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西安市公安局交通管理支队及下辖各大队。</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乙方开具等额发票在甲方处办理40%合同款项的预付款支付手续</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乙方根据甲方需求分批次供货,甲方根据验收情况分批次支付合同剩余款项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1、因平台格式限制，合同实际签订规定为：采购人应在中标通知书发出之日起25日内与中标人签订采购合同； 2、因平台格式限制，实际支付方式为：（1）签订合同后，乙方向甲方出具合同总价款5%的履约保函，见索即付：1.1乙方开具等额发票在甲方处办理40%合同款项的预付款支付手续；1.2乙方根据甲方需求分批次供货,甲方根据验收情况分批次支付合同剩余款项。 （2）履约保函有效期一年（自乙方向甲方出具保函之日起计算），甲方持纸质版保函一年内见索即付。一年后乙方对本合同完全履行（包含质保服务），无违约行为，自动到期退回乙方，无需收回纸质版保函原件。 3、本项目需提供样品，具体要求如下：（1）递交样品截止时间：与投标文件递交截止时间一致；（2）样品邮寄或送达地址：西安市新城区东六路民安大厦二期五楼526室，联系人：刘工，联系电话：029-89246265；（3）投标人须在递交样品截止时间前将样品邮寄或送达指定地址，逾期不予受理；（4）样品须密封递交，外包装上注明样品清单，样品清单格式与投标文件格式保持一致；（5）中标单位的样品将作为供货验收实物样品，在合同履约期限到期之后退还；（6）未中标单位的样品将在结果公告发布后5个工作日内全部退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法定代表人直接参加投标的，须出具法定代表人身份证，并与营业执照上信息一致；法定代表人授权代表参加投标的，须同时出具法定代表人授权书及授权代表身份证；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提供截止至开标时间前一年内任意一个月的缴纳凭据（任意税种），依法免税的投标人应提供相关文件证明；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提供截止至开标时间前一年内任意一个月的社保缴纳凭据或社保机构开具的社会保险参保缴纳情况证明，依法不需要缴纳社会保障资金的投标人应提供相关证明；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审计事务所出具的2023年度或2024年度的财务报告（成立时间至提交投标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或重大税收违法案件当事人名单或政府采购严重违法失信行为记录名单”的投标人；不得为中国政府采购网(http：//www.ccgp.gov.cn)“政府采购严重违法失信行为记录名单”中的投标人。（根据财库【2019】38号文规定，此项由代理机构在开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投标文件格式、语言及有效期</w:t>
            </w:r>
          </w:p>
        </w:tc>
        <w:tc>
          <w:tcPr>
            <w:tcW w:type="dxa" w:w="3322"/>
          </w:tcPr>
          <w:p>
            <w:pPr>
              <w:pStyle w:val="null3"/>
            </w:pPr>
            <w:r>
              <w:rPr>
                <w:rFonts w:ascii="仿宋_GB2312" w:hAnsi="仿宋_GB2312" w:cs="仿宋_GB2312" w:eastAsia="仿宋_GB2312"/>
              </w:rPr>
              <w:t>投标文件格式、语言及有效期符合招标文件要求。</w:t>
            </w:r>
          </w:p>
        </w:tc>
        <w:tc>
          <w:tcPr>
            <w:tcW w:type="dxa" w:w="1661"/>
          </w:tcPr>
          <w:p>
            <w:pPr>
              <w:pStyle w:val="null3"/>
            </w:pPr>
            <w:r>
              <w:rPr>
                <w:rFonts w:ascii="仿宋_GB2312" w:hAnsi="仿宋_GB2312" w:cs="仿宋_GB2312" w:eastAsia="仿宋_GB2312"/>
              </w:rPr>
              <w:t>供货保障措施 分项报价表 中小企业声明函 业绩 样品 商务应答表 产品质量保障 售后服务承诺 资格证明文件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三处均无遗漏，且与所投项目名称、项目编号完全一致。</w:t>
            </w:r>
          </w:p>
        </w:tc>
        <w:tc>
          <w:tcPr>
            <w:tcW w:type="dxa" w:w="1661"/>
          </w:tcPr>
          <w:p>
            <w:pPr>
              <w:pStyle w:val="null3"/>
            </w:pPr>
            <w:r>
              <w:rPr>
                <w:rFonts w:ascii="仿宋_GB2312" w:hAnsi="仿宋_GB2312" w:cs="仿宋_GB2312" w:eastAsia="仿宋_GB2312"/>
              </w:rPr>
              <w:t>资格证明文件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（1）计量单位、报价货币均符合招标文件要求；（2）投标报价未超出采购预算或投标文件规定的最高限价。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完全理解并接受合同条款要求，合同条款没有重大偏离和保留。</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供货保障措施 分项报价表 中小企业声明函 业绩 样品 商务应答表 产品质量保障 售后服务承诺 资格证明文件 产品技术参数表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提供2022年至今的同类项目业绩，每提供1份得1分，本项最高得5分；注：1、以合同复印件加盖公章为准；2、时间以合同签订时间为准；3、未提供或提供不完整或不清晰的均不得分。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1、完全响应、满足招标文件技术要求的得满分20分，每有一项负偏离扣0.5分，扣完为止。 2、其中技术指标要求提供佐证材料的须提供佐证材料,不提供的自行承担因未提供佐证材料被视为负偏离的风险。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一）评审内容：1、生产厂家有生产所投货物的加工生产能力（包括但不限于厂房租赁或购买合同、生产人员配备说明、生产设备现场照片等）；2、生产原材料选用方案；3、生产工艺及流程；4、成品检验合格出厂方案。 （二）评审标准：以上4项内容无缺项，专门针对本项目编制，符合本项目实际情况，内容完整、条理清晰、能够保障项目顺利实施的得10分。每项内容根据供应商内容响应程度：每缺少一项内容或者内容非针对于本项目的扣2.5分，每有一项内容有缺陷的扣1.5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产品质量保障</w:t>
            </w:r>
          </w:p>
        </w:tc>
      </w:tr>
      <w:tr>
        <w:tc>
          <w:tcPr>
            <w:tcW w:type="dxa" w:w="831"/>
            <w:vMerge/>
          </w:tcPr>
          <w:p/>
        </w:tc>
        <w:tc>
          <w:tcPr>
            <w:tcW w:type="dxa" w:w="1661"/>
          </w:tcPr>
          <w:p>
            <w:pPr>
              <w:pStyle w:val="null3"/>
            </w:pPr>
            <w:r>
              <w:rPr>
                <w:rFonts w:ascii="仿宋_GB2312" w:hAnsi="仿宋_GB2312" w:cs="仿宋_GB2312" w:eastAsia="仿宋_GB2312"/>
              </w:rPr>
              <w:t>供货保障措施</w:t>
            </w:r>
          </w:p>
        </w:tc>
        <w:tc>
          <w:tcPr>
            <w:tcW w:type="dxa" w:w="2492"/>
          </w:tcPr>
          <w:p>
            <w:pPr>
              <w:pStyle w:val="null3"/>
            </w:pPr>
            <w:r>
              <w:rPr>
                <w:rFonts w:ascii="仿宋_GB2312" w:hAnsi="仿宋_GB2312" w:cs="仿宋_GB2312" w:eastAsia="仿宋_GB2312"/>
              </w:rPr>
              <w:t>（一）评审内容：1、合理的供货渠道说明(包括但不限于产品制造商授权、销售协议、代理协议、原厂授权等)；2、供货进度计划及进度保障措施；3、成品运输供货方案；4、各类突发情况的预见及应对措施。 （二）评审标准：以上4项内容无缺项，专门针对本项目编制，符合本项目实际情况，内容完整、条理清晰、能够保障项目顺利实施的得10分。每项内容根据供应商内容响应程度：每缺少一项内容或者内容非针对于本项目的扣2.5分，每有一项内容有缺陷的扣1.5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供货保障措施</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（一）评审内容：1、售后服务期限及范围说明；2、售后服务人员配置；3、售后响应及时性保障；4、其他针对本项目的合理服务承诺。 （二）评审标准：以上4项内容无缺项，专门针对本项目编制，符合本项目实际情况，内容完整、条理清晰、能够保障项目顺利实施的得10分。每项内容根据供应商内容响应程度：每缺少一项内容或者内容非针对于本项目的扣2.5分，每有一项内容有缺陷的扣1.5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售后服务承诺</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根据投标人提供的样品种类及样品质量、样品材质、标识、款式、版型、做工精细程度、工艺等内容与招标文件的符合程度进行赋分： 1、加工精细：产品整洁美观，四边平直，四角方正，线路顺直，缝合牢固，无开线、断线等缺陷，计[0-5]分； 2、面料：样品面料舒适性高，根据触感、感观等，计[0-5]分； 3、色差：颜色美观，色彩纯正，无色差，计[0-5]分。 4、样品提供不全、未提供样品、样品款式与招标需求不符合的均不得分。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满足招标文件要求且投标报价（即单价合计）最低的投标报价为评标基准价，其价格分为满分。其他投标人的价格分统一按照下列公式计算：投标报价得分=（评标基准价/投标报价）×价格权值×100。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详见附件：产品质量保障</w:t>
      </w:r>
    </w:p>
    <w:p>
      <w:pPr>
        <w:pStyle w:val="null3"/>
        <w:ind w:firstLine="960"/>
      </w:pPr>
      <w:r>
        <w:rPr>
          <w:rFonts w:ascii="仿宋_GB2312" w:hAnsi="仿宋_GB2312" w:cs="仿宋_GB2312" w:eastAsia="仿宋_GB2312"/>
        </w:rPr>
        <w:t>详见附件：供货保障措施</w:t>
      </w:r>
    </w:p>
    <w:p>
      <w:pPr>
        <w:pStyle w:val="null3"/>
        <w:ind w:firstLine="960"/>
      </w:pPr>
      <w:r>
        <w:rPr>
          <w:rFonts w:ascii="仿宋_GB2312" w:hAnsi="仿宋_GB2312" w:cs="仿宋_GB2312" w:eastAsia="仿宋_GB2312"/>
        </w:rPr>
        <w:t>详见附件：售后服务承诺</w:t>
      </w:r>
    </w:p>
    <w:p>
      <w:pPr>
        <w:pStyle w:val="null3"/>
        <w:ind w:firstLine="960"/>
      </w:pPr>
      <w:r>
        <w:rPr>
          <w:rFonts w:ascii="仿宋_GB2312" w:hAnsi="仿宋_GB2312" w:cs="仿宋_GB2312" w:eastAsia="仿宋_GB2312"/>
        </w:rPr>
        <w:t>详见附件：样品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