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FB8DB">
      <w:pPr>
        <w:pStyle w:val="6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技术方案</w:t>
      </w:r>
    </w:p>
    <w:p w14:paraId="3E0FCF58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1.拟投入本项目的主要设备</w:t>
      </w:r>
    </w:p>
    <w:p w14:paraId="20A8D619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设计方案</w:t>
      </w:r>
    </w:p>
    <w:p w14:paraId="5DA588D4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3. 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施工组织设计</w:t>
      </w:r>
    </w:p>
    <w:p w14:paraId="4CB3C697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3.1根据供应商提供施工整体方案，包括但不限于：①施工组织整体方案；②分部分项施工方案；③方案针对性；④施工段划分。</w:t>
      </w:r>
    </w:p>
    <w:p w14:paraId="7549EDFA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3.2根据供应商提供的确保工程质量的技术组织措施，包括①质量体系；②质量保证措施。</w:t>
      </w:r>
    </w:p>
    <w:p w14:paraId="146BC5C9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3.3根据供应商提供安全文明施工措施及环境保护措施，包括但不限于：①安全文明施工措施； ②安全文明管理体系；③环境保护措施；④环境保护体系。</w:t>
      </w:r>
    </w:p>
    <w:p w14:paraId="74D06BBC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3.4根据供应商提供的项目工期的技术组织措施，包括但不限于：①工期进度计划；②进度表；③工程工期保障措施。</w:t>
      </w:r>
    </w:p>
    <w:p w14:paraId="5AAEA472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3.5根据供应商提供针对本项目的劳动力、机械设备和材料投入计划及保证措施，包括但不限于：①机械设备和材料投入计划；②保证措施。</w:t>
      </w:r>
    </w:p>
    <w:p w14:paraId="4AF8BE2A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3.6根据供应商提供供货及安装的实施方案。</w:t>
      </w:r>
    </w:p>
    <w:p w14:paraId="2088218D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3.7根据供应商提供完善的售后服务方案及培训方案，包括但不限于①技术培训方案；②发生故障后的补救措施及响应时间.</w:t>
      </w:r>
    </w:p>
    <w:p w14:paraId="6E7910FD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3.8根据供应商提供的污水处理验收方案，包括但不限于：①水质检测评估；②水质达标情况。</w:t>
      </w:r>
    </w:p>
    <w:p w14:paraId="424275AB">
      <w:pPr>
        <w:pStyle w:val="6"/>
        <w:numPr>
          <w:ilvl w:val="0"/>
          <w:numId w:val="0"/>
        </w:num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3.9根据供应商提供的突发、应急事项处理举措。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附件：</w:t>
      </w:r>
      <w:bookmarkStart w:id="0" w:name="_Toc15784"/>
      <w:bookmarkStart w:id="1" w:name="_Toc23823"/>
      <w:bookmarkStart w:id="2" w:name="_Toc28797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主要材料、设备品牌表</w:t>
      </w:r>
    </w:p>
    <w:p w14:paraId="33BBF0D1">
      <w:pPr>
        <w:pStyle w:val="3"/>
        <w:spacing w:line="360" w:lineRule="auto"/>
        <w:jc w:val="both"/>
        <w:outlineLvl w:val="1"/>
        <w:rPr>
          <w:rFonts w:hint="eastAsia"/>
          <w:sz w:val="24"/>
          <w:szCs w:val="24"/>
        </w:rPr>
      </w:pPr>
    </w:p>
    <w:p w14:paraId="17C98954">
      <w:pPr>
        <w:pStyle w:val="3"/>
        <w:spacing w:line="360" w:lineRule="auto"/>
        <w:jc w:val="center"/>
        <w:outlineLvl w:val="1"/>
        <w:rPr>
          <w:sz w:val="24"/>
          <w:szCs w:val="24"/>
        </w:rPr>
      </w:pPr>
      <w:r>
        <w:rPr>
          <w:rFonts w:hint="eastAsia"/>
          <w:sz w:val="24"/>
          <w:szCs w:val="24"/>
        </w:rPr>
        <w:t>主要材料、设备品牌表</w:t>
      </w:r>
      <w:bookmarkEnd w:id="0"/>
      <w:bookmarkEnd w:id="1"/>
      <w:bookmarkEnd w:id="2"/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 w14:paraId="3CBB7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noWrap w:val="0"/>
            <w:vAlign w:val="center"/>
          </w:tcPr>
          <w:p w14:paraId="19A8B80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bookmarkStart w:id="3" w:name="_Toc23200"/>
            <w:bookmarkStart w:id="4" w:name="_Toc11644"/>
            <w:bookmarkStart w:id="5" w:name="_Toc19747"/>
            <w:bookmarkStart w:id="6" w:name="_Toc2184"/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824" w:type="dxa"/>
            <w:noWrap w:val="0"/>
            <w:vAlign w:val="center"/>
          </w:tcPr>
          <w:p w14:paraId="3E3F0B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材料、设备名称</w:t>
            </w:r>
          </w:p>
        </w:tc>
        <w:tc>
          <w:tcPr>
            <w:tcW w:w="874" w:type="dxa"/>
            <w:noWrap w:val="0"/>
            <w:vAlign w:val="center"/>
          </w:tcPr>
          <w:p w14:paraId="2399849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1802" w:type="dxa"/>
            <w:noWrap w:val="0"/>
            <w:vAlign w:val="center"/>
          </w:tcPr>
          <w:p w14:paraId="48FB7B1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规格/型号</w:t>
            </w:r>
          </w:p>
        </w:tc>
        <w:tc>
          <w:tcPr>
            <w:tcW w:w="1075" w:type="dxa"/>
            <w:noWrap w:val="0"/>
            <w:vAlign w:val="center"/>
          </w:tcPr>
          <w:p w14:paraId="5DD1C9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083" w:type="dxa"/>
            <w:noWrap w:val="0"/>
            <w:vAlign w:val="center"/>
          </w:tcPr>
          <w:p w14:paraId="02CD231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</w:tc>
        <w:tc>
          <w:tcPr>
            <w:tcW w:w="1438" w:type="dxa"/>
            <w:noWrap w:val="0"/>
            <w:vAlign w:val="center"/>
          </w:tcPr>
          <w:p w14:paraId="4939A2B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807C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434A610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28FE8C4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456DFBF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02F7D1F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69DB9F1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0A2614F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693B3A5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56FD0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1870575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14947A7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1B7CCA6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000FE5C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6C68D7B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390A2FF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50AEF83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30C0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072980E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1B471FC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30CBD8E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4DEFA58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624C3EE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06ABA77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7616445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1D5AC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09414FA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20D2861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2673456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6BCA057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32E402A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5895095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19AD1C9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0ACB5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7C1C3EE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431CEC1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1AEAC1F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3157C5E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1678ABE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7992FF8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64FF028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3037A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2C9FAF8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260E230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2B15AD9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5005BCE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4CB4CF0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372758F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4A73FCF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3A374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44B772A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33D6C7B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1FA785F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5111875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44132D4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3C72458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1054EE0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52EB7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414D5F2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658DB97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75AD429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6A71D86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4420F85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4E1901B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2530B01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5ADCD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4454D74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2D09255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56141D6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506B51D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62CE2C1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29F4E25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01C47AC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40BB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3D45FA5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08A7105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753673B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337C36B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1B024F1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5F8ACC6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573C327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7658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 w14:paraId="7D25416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 w14:paraId="7FA43D2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0EAAD10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 w14:paraId="1726E44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 w14:paraId="0390ECF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 w14:paraId="09986B4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 w14:paraId="74E8ADA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</w:tbl>
    <w:p w14:paraId="7C47D6EB"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注：后附符合本文件要求的相关证明材料。</w:t>
      </w:r>
    </w:p>
    <w:p w14:paraId="5575D03C">
      <w:pPr>
        <w:spacing w:line="360" w:lineRule="auto"/>
        <w:rPr>
          <w:sz w:val="24"/>
          <w:szCs w:val="24"/>
        </w:rPr>
      </w:pPr>
    </w:p>
    <w:p w14:paraId="61EBB061">
      <w:pPr>
        <w:adjustRightInd w:val="0"/>
        <w:snapToGrid w:val="0"/>
        <w:spacing w:line="360" w:lineRule="auto"/>
        <w:rPr>
          <w:rFonts w:ascii="宋体" w:hAnsi="宋体" w:eastAsia="宋体" w:cs="宋体"/>
          <w:color w:val="000000"/>
          <w:sz w:val="24"/>
          <w:szCs w:val="24"/>
        </w:rPr>
      </w:pPr>
    </w:p>
    <w:p w14:paraId="6378186D">
      <w:pPr>
        <w:adjustRightInd w:val="0"/>
        <w:snapToGrid w:val="0"/>
        <w:spacing w:line="360" w:lineRule="auto"/>
        <w:ind w:right="48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szCs w:val="24"/>
        </w:rPr>
        <w:t>供应商：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  <w:szCs w:val="24"/>
        </w:rPr>
        <w:t>（盖单位章）</w:t>
      </w:r>
    </w:p>
    <w:p w14:paraId="0DA4F412">
      <w:pPr>
        <w:adjustRightInd w:val="0"/>
        <w:snapToGrid w:val="0"/>
        <w:spacing w:line="360" w:lineRule="auto"/>
        <w:jc w:val="right"/>
        <w:rPr>
          <w:rFonts w:ascii="宋体"/>
          <w:sz w:val="24"/>
          <w:szCs w:val="24"/>
        </w:rPr>
      </w:pPr>
    </w:p>
    <w:p w14:paraId="4DAC57B2">
      <w:pPr>
        <w:adjustRightInd w:val="0"/>
        <w:snapToGrid w:val="0"/>
        <w:spacing w:line="360" w:lineRule="auto"/>
        <w:ind w:firstLine="480" w:firstLineChars="200"/>
        <w:jc w:val="righ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日</w:t>
      </w:r>
    </w:p>
    <w:bookmarkEnd w:id="3"/>
    <w:bookmarkEnd w:id="4"/>
    <w:bookmarkEnd w:id="5"/>
    <w:bookmarkEnd w:id="6"/>
    <w:p w14:paraId="4C94050F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86FEA"/>
    <w:rsid w:val="3D323573"/>
    <w:rsid w:val="6918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2025-05-28T09:27:00Z</dcterms:created>
  <dc:creator>樱桃小晨子 </dc:creator>
  <cp:lastModifiedBy>樱桃小晨子 </cp:lastModifiedBy>
  <dcterms:modified xsi:type="dcterms:W3CDTF">2025-05-28T09:29:19Z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843C156C1A4F435995A35F5D9AE6CAAF_11</vt:lpwstr>
  </property>
  <property fmtid="{D5CDD505-2E9C-101B-9397-08002B2CF9AE}" pid="4" name="KSOTemplateDocerSaveRecord">
    <vt:lpwstr>eyJoZGlkIjoiYmVjZjg2OWE5ZTE1Njc1MjI5MzRlMzhjOTEyZTVkNDUiLCJ1c2VySWQiOiIxMjkzNTU3MjkzIn0=</vt:lpwstr>
  </property>
</Properties>
</file>