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版本号：HHZB2025-DY-02020250528001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汉城法庭办公用房租赁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HHZB2025-DY-020</w:t>
      </w:r>
      <w:r>
        <w:br/>
      </w:r>
      <w:r>
        <w:br/>
      </w:r>
      <w:r>
        <w:br/>
      </w:r>
    </w:p>
    <w:p>
      <w:pPr>
        <w:pStyle w:val="null3"/>
        <w:jc w:val="center"/>
        <w:outlineLvl w:val="5"/>
      </w:pPr>
      <w:r>
        <w:rPr>
          <w:rFonts w:ascii="仿宋_GB2312" w:hAnsi="仿宋_GB2312" w:cs="仿宋_GB2312" w:eastAsia="仿宋_GB2312"/>
          <w:sz w:val="15"/>
          <w:b/>
        </w:rPr>
        <w:t>西安市未央区人民法院[158]</w:t>
      </w:r>
    </w:p>
    <w:p>
      <w:pPr>
        <w:pStyle w:val="null3"/>
        <w:jc w:val="center"/>
        <w:outlineLvl w:val="5"/>
      </w:pPr>
      <w:r>
        <w:rPr>
          <w:rFonts w:ascii="仿宋_GB2312" w:hAnsi="仿宋_GB2312" w:cs="仿宋_GB2312" w:eastAsia="仿宋_GB2312"/>
          <w:sz w:val="15"/>
          <w:b/>
        </w:rPr>
        <w:t>陕西瀚海昱源企业管理咨询有限公司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陕西瀚海昱源企业管理咨询有限公司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汉城法庭办公用房租赁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HHZB2025-DY-020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汉城法庭办公用房租赁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西安市未央区人民法院汉城法庭办公用房租赁（详见采购文件“第三章 采购项目技术、服务、商务及其他要求”）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2023年度或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 的社会保障资金缴存单据或社保机构开具的社 会保险参保缴费情况证明。成立时间至提交投 标文件截止时间不足一个月或依法不需要缴纳 社会保障资金的投标人应提供相关文件证明；</w:t>
      </w:r>
    </w:p>
    <w:p>
      <w:pPr>
        <w:pStyle w:val="null3"/>
      </w:pPr>
      <w:r>
        <w:rPr>
          <w:rFonts w:ascii="仿宋_GB2312" w:hAnsi="仿宋_GB2312" w:cs="仿宋_GB2312" w:eastAsia="仿宋_GB2312"/>
        </w:rPr>
        <w:t>5、书面声明：1.出具履行合同所必需的设备和专业技术能力的 书面声明； 2.出具参加本次政府采购活动的书 面声明；</w:t>
      </w:r>
    </w:p>
    <w:p>
      <w:pPr>
        <w:pStyle w:val="null3"/>
      </w:pPr>
      <w:r>
        <w:rPr>
          <w:rFonts w:ascii="仿宋_GB2312" w:hAnsi="仿宋_GB2312" w:cs="仿宋_GB2312" w:eastAsia="仿宋_GB2312"/>
        </w:rPr>
        <w:t>6、信用记录：投标供应商不得被“信用中国”（www.creditch ina.gov.cn）列入重大税收违法失信主体；不 得被“中国执行信息公开网”（http://zxgk.cour t.gov.cn/shixin/）列入失信被执行人名单；不 得被“中国政府采购网”（www.ccgp.gov.cn）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 身份证（须与营业执照上信息一致），法定代 表人授权代表参加投标的须出具法定代表人授 权书及授权代表身份证）；</w:t>
      </w:r>
    </w:p>
    <w:p>
      <w:pPr>
        <w:pStyle w:val="null3"/>
      </w:pPr>
      <w:r>
        <w:rPr>
          <w:rFonts w:ascii="仿宋_GB2312" w:hAnsi="仿宋_GB2312" w:cs="仿宋_GB2312" w:eastAsia="仿宋_GB2312"/>
        </w:rPr>
        <w:t>8、控股、管理关系：单位负责人为同一人或者存在控股、管理关系 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西安市未央区人民法院[158]经办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029-88010008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陕西瀚海昱源企业管理咨询有限公司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陕西省西安市高新区高新路枫叶大厦1幢C1301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陈恺、马超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029-87309603 13359182918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采购包1：1,849,000.00元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采购包1：1,849,000.00元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 ，招标代理服务费以中标金额为基数，参照国家计委颁布《招标代理服务收费管理暂行办法》 （计价格[2002]1980号）和国家发展改革委员会办公厅颁发的《关于招标代理服务收费有关问 题的通知》（发改办价格[2003]857号）文件规定执行。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陕西瀚海昱源企业管理咨询有限公司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陕西瀚海昱源企业管理咨询有限公司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陕西瀚海昱源企业管理咨询有限公司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西安市未央区人民法院汉城法庭办公用房租赁（详见采购文件“第三章 采购项目技术、服务、商务及其他要求”）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1,849,000.00</w:t>
      </w:r>
    </w:p>
    <w:p>
      <w:pPr>
        <w:pStyle w:val="null3"/>
      </w:pPr>
      <w:r>
        <w:rPr>
          <w:rFonts w:ascii="仿宋_GB2312" w:hAnsi="仿宋_GB2312" w:cs="仿宋_GB2312" w:eastAsia="仿宋_GB2312"/>
        </w:rPr>
        <w:t>采购包最高限价（元）: 1,849,000.00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汉城法庭办公用房租赁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标的名称：汉城法庭办公用房租赁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省高院要求</w:t>
            </w:r>
            <w:r>
              <w:rPr>
                <w:rFonts w:ascii="仿宋_GB2312" w:hAnsi="仿宋_GB2312" w:cs="仿宋_GB2312" w:eastAsia="仿宋_GB2312"/>
                <w:sz w:val="24"/>
              </w:rPr>
              <w:t>2022年底要实现全省人民法庭基础设施及装备条件有序进步，促民服务有新时效，而汉城人民法庭无自有办公办案用房，供用的办公用房面积和设施条件不符合人民法庭“两化”建设标准，与人民法庭建设要求“便于当事人诉讼、便于人民法院依法独立公正高效行使判权，便于人民群众及时感受到公平公正”的原则不相符。</w:t>
            </w:r>
          </w:p>
          <w:p>
            <w:pPr>
              <w:pStyle w:val="null3"/>
              <w:ind w:firstLine="480"/>
              <w:jc w:val="left"/>
            </w:pPr>
            <w:r>
              <w:rPr>
                <w:rFonts w:ascii="仿宋_GB2312" w:hAnsi="仿宋_GB2312" w:cs="仿宋_GB2312" w:eastAsia="仿宋_GB2312"/>
                <w:sz w:val="24"/>
              </w:rPr>
              <w:t>汉城人民法庭目前有</w:t>
            </w:r>
            <w:r>
              <w:rPr>
                <w:rFonts w:ascii="仿宋_GB2312" w:hAnsi="仿宋_GB2312" w:cs="仿宋_GB2312" w:eastAsia="仿宋_GB2312"/>
                <w:sz w:val="24"/>
              </w:rPr>
              <w:t>17名正式在岗干警人员数量。结合住建部、国家发改委颁布的《人民法院法庭建设标准(建标138-2010)》和省高院《陕西省高级人民法院关于印发&lt;全省人民法庭标准化规范化建设评估标准&gt;的通知》等相关规定:“编制人员数超过11人、年审理案件数超过1000件的人民法庭，其建设规模可在一类面积标准(1670㎡-1930㎡)的基础上适当增加。”</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为了更好的服务于广大人民群众现西安市未央区人民法院在规定范围内租赁办公用地。</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首期租赁费用在合同签订7日内一次性支付，每6个月为一期向出租方付费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后期租赁费用租赁方应于上一计租周期届满前20日内一次性交清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1.中标供应商在采购结果发布后3个工作日内向代理机构提交纸质版响应文件以便于存档，响应文件正本1份，副本2份， 电子版文件2份（以U盘为载体，电子版内容包括Word版本、签字盖章扫描后的PDF版本响应文件）。纸质响应文件均须A4 纸打印，分别各自装订成册并编制目录和页码。 2.线下递交响应文件地点：西安市高新区高新路枫叶大厦C座1301室 2.本项目其他未尽事宜，双方协商解决。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2023年度或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 的社会保障资金缴存单据或社保机构开具的社 会保险参保缴费情况证明。成立时间至提交投 标文件截止时间不足一个月或依法不需要缴纳 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 书面声明； 2.出具参加本次政府采购活动的书 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 ina.gov.cn）列入重大税收违法失信主体；不 得被“中国执行信息公开网”（http://zxgk.cour t.gov.cn/shixin/）列入失信被执行人名单；不 得被“中国政府采购网”（www.ccgp.gov.cn） 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 身份证（须与营业执照上信息一致），法定代 表人授权代表参加投标的须出具法定代表人授 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 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谈判响应文件中项目名称、项目编号与本项目 一致，按照谈判响应文件要求签字盖章，无遗 漏。 “谈判响应文件格式”中凡注明“签字和盖章 ”处，供应商必须既手写签字又盖章；“谈判响 应文件格式”中凡注明“签字或盖章”处，供应商 实施一项内容即可；竞争性磋商响应文件中所 附的相关材料的复印件，也须加盖供应商单位 公章。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 资格证明文件.docx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详见附件：拟签订的合同文本5.29.docx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