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版本号：HRPDZB2025-04320250528001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西安市优秀传统手工艺作品收购(二次)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HRPDZB2025-043</w:t>
      </w:r>
      <w:r>
        <w:br/>
      </w:r>
      <w:r>
        <w:br/>
      </w:r>
      <w:r>
        <w:br/>
      </w:r>
    </w:p>
    <w:p>
      <w:pPr>
        <w:pStyle w:val="null3"/>
        <w:jc w:val="center"/>
        <w:outlineLvl w:val="2"/>
      </w:pPr>
      <w:r>
        <w:rPr>
          <w:rFonts w:ascii="仿宋_GB2312" w:hAnsi="仿宋_GB2312" w:cs="仿宋_GB2312" w:eastAsia="仿宋_GB2312"/>
          <w:sz w:val="28"/>
          <w:b/>
        </w:rPr>
        <w:t>西安市群众艺术馆</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西安市群众艺术馆</w:t>
      </w:r>
      <w:r>
        <w:rPr>
          <w:rFonts w:ascii="仿宋_GB2312" w:hAnsi="仿宋_GB2312" w:cs="仿宋_GB2312" w:eastAsia="仿宋_GB2312"/>
        </w:rPr>
        <w:t>委托，拟对</w:t>
      </w:r>
      <w:r>
        <w:rPr>
          <w:rFonts w:ascii="仿宋_GB2312" w:hAnsi="仿宋_GB2312" w:cs="仿宋_GB2312" w:eastAsia="仿宋_GB2312"/>
        </w:rPr>
        <w:t>西安市优秀传统手工艺作品收购(二次)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HRPDZB2025-043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西安市优秀传统手工艺作品收购(二次)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本项目主要是对于西安市优秀传统手工艺品收购的评估、视频记录、谈判、采购大明宫砖雕、蹙金秀等民俗作品，展现独特的传统魅力、丰富多样，助力非遗传承与发展。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采购包1（西安市优秀传统手工艺作品收购）：属于专门面向小微企业采购。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其身份证，法定代表人授权代表参加投标的，须出具授权书及被授权人身份证，供应商需在项目电子化交易系统中按要求上传相应证明文件并进行电子签章；</w:t>
      </w:r>
    </w:p>
    <w:p>
      <w:pPr>
        <w:pStyle w:val="null3"/>
      </w:pPr>
      <w:r>
        <w:rPr>
          <w:rFonts w:ascii="仿宋_GB2312" w:hAnsi="仿宋_GB2312" w:cs="仿宋_GB2312" w:eastAsia="仿宋_GB2312"/>
        </w:rPr>
        <w:t>3、审计报告：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pPr>
        <w:pStyle w:val="null3"/>
      </w:pPr>
      <w:r>
        <w:rPr>
          <w:rFonts w:ascii="仿宋_GB2312" w:hAnsi="仿宋_GB2312" w:cs="仿宋_GB2312" w:eastAsia="仿宋_GB2312"/>
        </w:rPr>
        <w:t>4、税收缴纳凭证：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保缴纳凭证：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6、信誉声明：供应商应具备良好的商业信誉，提供参加政府采购活动前3年内在经营活动中没有重大违法记录的书面声明，供应商需在项目电子化交易系统中按要求上传相应证明文件并进行电子签章；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信用情况：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8、中小企业声明函：本项目专门面向小微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9、非联合体：本项目不接受联合体响应。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西安市群众艺术馆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西安市文艺北路197号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西安市群众艺术馆经办王幸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13572172159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15129267024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代理服务费收费标准：（1）本项目招标代理服务费由成交供应商支付； （2）代理服务费收费标准：参照《招标代理服务收费管理暂行办法》(计价格(2002)1980号)文（服务类）规定收取。 （3）支付标准:按工程招标标准。 （4）采购代理服务费支付币种为人民币。 （5）单位名称：宏睿鹏达项目管理有限公司 （6）开户银行：招商银行西安西影路支行 （7）账号：129915887510505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西安市群众艺术馆</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西安市群众艺术馆</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西安市群众艺术馆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联系电话：15129267024</w:t>
      </w:r>
    </w:p>
    <w:p>
      <w:pPr>
        <w:pStyle w:val="null3"/>
      </w:pPr>
      <w:r>
        <w:rPr>
          <w:rFonts w:ascii="仿宋_GB2312" w:hAnsi="仿宋_GB2312" w:cs="仿宋_GB2312" w:eastAsia="仿宋_GB2312"/>
        </w:rPr>
        <w:t>地址：陕西省西安市雁塔区雁翔路99号博源科技广场C座西交一九八六孵化器2046号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6"/>
        </w:rPr>
        <w:t>本项目主要是对于西安市优秀传统手工艺品收购的评估、视频记录、谈判、采购大明宫砖雕、蹙金秀等民俗作品，展现独特的传统魅力、丰富多样，助力非遗传承与发展。</w:t>
      </w:r>
      <w:r>
        <w:rPr>
          <w:rFonts w:ascii="仿宋_GB2312" w:hAnsi="仿宋_GB2312" w:cs="仿宋_GB2312" w:eastAsia="仿宋_GB2312"/>
          <w:sz w:val="16"/>
          <w:color w:val="333333"/>
        </w:rPr>
        <w:t>主要功能或目标:收购不仅丰富了博物馆馆藏，也弘扬传统手工艺文化，提高公众对非物质文化遗产的认识和保护意识，并且为手艺人提供展示和传承的平台，促进西安非遗的发展。；需满足的要求:一是确保作品来源正规；二是鉴别品质，工艺精湛为佳；三是尊重作者意愿，达成合理价格；四是遵循相关法律法规；五是具备妥善保存展示条件，利于传承传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项目名称：西安市优秀传统手工艺作品收购</w:t>
            </w:r>
            <w:r>
              <w:br/>
            </w:r>
            <w:r>
              <w:rPr>
                <w:rFonts w:ascii="仿宋_GB2312" w:hAnsi="仿宋_GB2312" w:cs="仿宋_GB2312" w:eastAsia="仿宋_GB2312"/>
              </w:rPr>
              <w:t>采购内容</w:t>
            </w:r>
            <w:r>
              <w:rPr>
                <w:rFonts w:ascii="仿宋_GB2312" w:hAnsi="仿宋_GB2312" w:cs="仿宋_GB2312" w:eastAsia="仿宋_GB2312"/>
              </w:rPr>
              <w:t>：评估、视频记录、大明宫砖雕、蹙金秀等民俗作品，展现独特的传统魅力。丰富多样，助力非遗传承与发展。；主要功能或目标:收购不仅丰富了博物馆馆藏，也弘扬传统手工艺文化，提高公众对非物质文化遗产的认识和保护意识，并且为手艺人提供展示和传承的平台，促进西安非遗的发展。；需满足的要求:一是确保作品来源正规；二是鉴别品质，工艺精湛为佳；三是尊重作者意愿，达成合理价格；四是遵循相关法律法规；五是具备妥善保存展示条件，利于传承传播。</w:t>
            </w:r>
          </w:p>
          <w:p>
            <w:pPr>
              <w:pStyle w:val="null3"/>
            </w:pPr>
            <w:r>
              <w:rPr>
                <w:rFonts w:ascii="仿宋_GB2312" w:hAnsi="仿宋_GB2312" w:cs="仿宋_GB2312" w:eastAsia="仿宋_GB2312"/>
              </w:rPr>
              <w:t>项目地点：采购人指定地点</w:t>
            </w:r>
            <w:r>
              <w:br/>
            </w:r>
            <w:r>
              <w:rPr>
                <w:rFonts w:ascii="仿宋_GB2312" w:hAnsi="仿宋_GB2312" w:cs="仿宋_GB2312" w:eastAsia="仿宋_GB2312"/>
              </w:rPr>
              <w:t xml:space="preserve"> 服务期限：自合同签订之日起90日历天</w:t>
            </w:r>
            <w:r>
              <w:br/>
            </w:r>
            <w:r>
              <w:rPr>
                <w:rFonts w:ascii="仿宋_GB2312" w:hAnsi="仿宋_GB2312" w:cs="仿宋_GB2312" w:eastAsia="仿宋_GB2312"/>
              </w:rPr>
              <w:t xml:space="preserve"> 服务内容：组织专业民俗专家对意向收购作品进行筛选，确定符合收购标准的作品；组织民俗专家开展收购作品鉴定会，对意向收购作品进行详细的鉴定和评估，确定作品收购价格；与作品所有者进行谈判，以鉴定会的评估价格确定最终价格，签订收购合同；支付收购款项，运送并办理作品的交接手续；全程记录本项目收购全过程影像视频记录资料。</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乙方完成收购任务，并完成验收后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甲乙双方必须遵守本合同并执行合同中的各项规定，保证本合同的正常履行。2、如因乙方工作人员在履行职务过程中的疏忽、失职、过错等故意或者过失原因给甲方造成损失或侵害，包括但不限于甲方本身的财产损失以及由此而导致的甲方对任何第三方的法律责任等，乙方对此均应承担全部的赔偿责任。二、解决合同纠纷的方式1、合同一经签订，不得随意变更、中止或终止。对确需变更、调整或者中止、终止合同的，应按规定履行相应的手续。2、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服务名称：西安市优秀传统手工艺作品收购； 服务范围：西安市优秀传统手工艺作品收购； 服务要求：满足采购人、磋商文件要求； 服务期限：合同签订之日起90日历天； 服务标准：符合国家相关规定验收标准，验收合格。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小微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供应商应提交的资格证明文件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投标文件签署、盖章及投标有效期符合招标文件要求；</w:t>
            </w:r>
          </w:p>
        </w:tc>
        <w:tc>
          <w:tcPr>
            <w:tcW w:type="dxa" w:w="1661"/>
          </w:tcPr>
          <w:p>
            <w:pPr>
              <w:pStyle w:val="null3"/>
            </w:pPr>
            <w:r>
              <w:rPr>
                <w:rFonts w:ascii="仿宋_GB2312" w:hAnsi="仿宋_GB2312" w:cs="仿宋_GB2312" w:eastAsia="仿宋_GB2312"/>
              </w:rPr>
              <w:t>响应文件封面 服务内容及服务邀请应答表 中小企业声明函 商务应答表 供应商应提交的资格证明文件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供应商应提交的资格证明文件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服务内容及服务邀请应答表 商务应答表 供应商应提交的资格证明文件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有详细的组织实施方案，方案内容包括但不限于：项目理解、组织策划、实施方案、安全保障、服务计划、服务措施、资源配备方案等，服务方案完整、措施有力、可行性高，完全满足项目需求得18-30分；服务方案较完整、措施一般，基本满足项目需求得4-18分；服务方案不完整、措施较差，可行性不高，无法满足项目需求得0-4分。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项目组织机构人员</w:t>
            </w:r>
          </w:p>
        </w:tc>
        <w:tc>
          <w:tcPr>
            <w:tcW w:type="dxa" w:w="2492"/>
          </w:tcPr>
          <w:p>
            <w:pPr>
              <w:pStyle w:val="null3"/>
            </w:pPr>
            <w:r>
              <w:rPr>
                <w:rFonts w:ascii="仿宋_GB2312" w:hAnsi="仿宋_GB2312" w:cs="仿宋_GB2312" w:eastAsia="仿宋_GB2312"/>
              </w:rPr>
              <w:t>针对本项目特点，提出全面明确的人员工作管理部署方案，包括不限于策划、组织、摄像、运输及后勤服务保障人员等，组织机构设置合理，管理人员及技术人员配备数量充足完全满足项目需求得6-10分；配备较齐全、合理，基本满足项目需要得3-6分；配备不齐全、配置不合理，可能影响项目进度及质量得0-3分。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安全保障及应急方案</w:t>
            </w:r>
          </w:p>
        </w:tc>
        <w:tc>
          <w:tcPr>
            <w:tcW w:type="dxa" w:w="2492"/>
          </w:tcPr>
          <w:p>
            <w:pPr>
              <w:pStyle w:val="null3"/>
            </w:pPr>
            <w:r>
              <w:rPr>
                <w:rFonts w:ascii="仿宋_GB2312" w:hAnsi="仿宋_GB2312" w:cs="仿宋_GB2312" w:eastAsia="仿宋_GB2312"/>
              </w:rPr>
              <w:t>针对本项目有详细的安全保障及应急预案措施，包括但不限于安全管理保障、应急措施、消防措施、后勤保障措施等内容，对可能出现的问题，有具体可行的应急措施和解决方案，考虑全面，可行性强，完全满足项目实施需求得10-15分；考虑较全面，有一定可行性得5-10分；考虑不重复，可行性低得0-5分。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服务质量保障包括但不限于服务质量管理计划、质量保证措施、质量保障体系,质量保障体系完整、措施切实可行得10-15分；质量保障体系较完整、措施一般得5-10分；质量保障体系及措施均欠完整得0-5分。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服务进度保障措施</w:t>
            </w:r>
          </w:p>
        </w:tc>
        <w:tc>
          <w:tcPr>
            <w:tcW w:type="dxa" w:w="2492"/>
          </w:tcPr>
          <w:p>
            <w:pPr>
              <w:pStyle w:val="null3"/>
            </w:pPr>
            <w:r>
              <w:rPr>
                <w:rFonts w:ascii="仿宋_GB2312" w:hAnsi="仿宋_GB2312" w:cs="仿宋_GB2312" w:eastAsia="仿宋_GB2312"/>
              </w:rPr>
              <w:t>针对本项目时间安排科学合理，时效性强，服务进度保证包括但不限于进度保证计划、工期保证措施，服务进度保障体系完整，节点细节详细得10-15分；服务进度保障体系较完整，节点细节一般得5-10分；服务进度保障体系较差，节点细节不清晰得0-5分；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供应商须提供2022年5月1日起至今具有组织活动策划类似项目业绩，每提供1项有效业绩得2.5分，最高得5分。注：以合同签订时间为准，附合同复印件或扫描件。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企业业绩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报价为准，并计算。计算方式：统一采用低价优先法计算，即满足招标文件要求且投标价格最低的投标报价为评标基准价，其价格分为满分。其他供应商的价格分统一按照下列公式计算：投标报价得分=（投标基准价/最终投标报价）×10计算得分；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详见附件：企业业绩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