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40DE1">
      <w:pPr>
        <w:bidi w:val="0"/>
        <w:jc w:val="center"/>
        <w:rPr>
          <w:rFonts w:hint="eastAsia" w:ascii="仿宋" w:hAnsi="仿宋" w:eastAsia="仿宋" w:cs="仿宋"/>
          <w:b/>
          <w:bCs/>
          <w:color w:val="auto"/>
          <w:sz w:val="30"/>
          <w:szCs w:val="30"/>
          <w:lang w:eastAsia="zh-CN"/>
        </w:rPr>
      </w:pPr>
      <w:bookmarkStart w:id="81" w:name="_GoBack"/>
      <w:r>
        <w:rPr>
          <w:rFonts w:hint="eastAsia" w:ascii="仿宋" w:hAnsi="仿宋" w:eastAsia="仿宋" w:cs="仿宋"/>
          <w:b/>
          <w:bCs/>
          <w:color w:val="auto"/>
          <w:sz w:val="30"/>
          <w:szCs w:val="30"/>
        </w:rPr>
        <w:t>拟签订的合同文本</w:t>
      </w:r>
    </w:p>
    <w:p w14:paraId="69E7EDD4">
      <w:pPr>
        <w:keepNext w:val="0"/>
        <w:keepLines w:val="0"/>
        <w:pageBreakBefore w:val="0"/>
        <w:widowControl w:val="0"/>
        <w:numPr>
          <w:ilvl w:val="0"/>
          <w:numId w:val="0"/>
        </w:numPr>
        <w:kinsoku/>
        <w:wordWrap/>
        <w:overflowPunct/>
        <w:topLinePunct w:val="0"/>
        <w:autoSpaceDE/>
        <w:autoSpaceDN/>
        <w:bidi w:val="0"/>
        <w:snapToGrid w:val="0"/>
        <w:spacing w:line="360" w:lineRule="auto"/>
        <w:ind w:left="0" w:leftChars="0" w:firstLine="400" w:firstLineChars="200"/>
        <w:textAlignment w:val="auto"/>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val="en-US" w:eastAsia="zh-CN"/>
        </w:rPr>
        <w:t>（</w:t>
      </w:r>
      <w:r>
        <w:rPr>
          <w:rFonts w:hint="eastAsia" w:ascii="仿宋" w:hAnsi="仿宋" w:eastAsia="仿宋" w:cs="仿宋"/>
          <w:color w:val="auto"/>
          <w:kern w:val="0"/>
          <w:sz w:val="20"/>
          <w:szCs w:val="20"/>
          <w:highlight w:val="none"/>
          <w:lang w:val="en-US" w:eastAsia="zh-CN" w:bidi="ar-SA"/>
        </w:rPr>
        <w:t xml:space="preserve"> 注：本合同文本未尽事宜由采购人和成交人在签订时协商确定，可在签订合同时对合同的相关条款及内容作进一步的细化和修改，但不得改变磋商文件、响应文件、成交通知书里的实质性内容。</w:t>
      </w:r>
      <w:r>
        <w:rPr>
          <w:rFonts w:hint="eastAsia" w:ascii="仿宋" w:hAnsi="仿宋" w:eastAsia="仿宋" w:cs="仿宋"/>
          <w:color w:val="auto"/>
          <w:kern w:val="0"/>
          <w:sz w:val="20"/>
          <w:szCs w:val="20"/>
          <w:highlight w:val="none"/>
          <w:lang w:val="en-US" w:eastAsia="zh-CN"/>
        </w:rPr>
        <w:t>）</w:t>
      </w:r>
    </w:p>
    <w:p w14:paraId="2E3C0780">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p>
    <w:p w14:paraId="3140A45A">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u w:val="single"/>
          <w:lang w:val="en-US" w:eastAsia="zh-CN"/>
        </w:rPr>
      </w:pPr>
      <w:r>
        <w:rPr>
          <w:rFonts w:hint="eastAsia" w:ascii="仿宋" w:hAnsi="仿宋" w:eastAsia="仿宋" w:cs="仿宋"/>
          <w:color w:val="auto"/>
          <w:kern w:val="0"/>
          <w:sz w:val="20"/>
          <w:szCs w:val="20"/>
          <w:highlight w:val="none"/>
        </w:rPr>
        <w:t>签订地点：</w:t>
      </w:r>
      <w:r>
        <w:rPr>
          <w:rFonts w:hint="eastAsia" w:ascii="仿宋" w:hAnsi="仿宋" w:eastAsia="仿宋" w:cs="仿宋"/>
          <w:color w:val="auto"/>
          <w:kern w:val="0"/>
          <w:sz w:val="20"/>
          <w:szCs w:val="20"/>
          <w:highlight w:val="none"/>
          <w:u w:val="single"/>
          <w:lang w:val="en-US" w:eastAsia="zh-CN"/>
        </w:rPr>
        <w:t xml:space="preserve">                </w:t>
      </w:r>
    </w:p>
    <w:p w14:paraId="159D67A6">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rPr>
        <w:t>签订时间：</w:t>
      </w:r>
      <w:r>
        <w:rPr>
          <w:rFonts w:hint="eastAsia" w:ascii="仿宋" w:hAnsi="仿宋" w:eastAsia="仿宋" w:cs="仿宋"/>
          <w:color w:val="auto"/>
          <w:kern w:val="0"/>
          <w:sz w:val="20"/>
          <w:szCs w:val="20"/>
          <w:highlight w:val="none"/>
          <w:u w:val="single"/>
          <w:lang w:val="en-US" w:eastAsia="zh-CN"/>
        </w:rPr>
        <w:t xml:space="preserve">                 </w:t>
      </w:r>
    </w:p>
    <w:p w14:paraId="59C9E4A5">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采购人（甲方）：</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p>
    <w:p w14:paraId="2C6ADA9A">
      <w:pPr>
        <w:pStyle w:val="12"/>
        <w:keepNext w:val="0"/>
        <w:keepLines w:val="0"/>
        <w:pageBreakBefore w:val="0"/>
        <w:kinsoku/>
        <w:wordWrap/>
        <w:overflowPunct/>
        <w:topLinePunct w:val="0"/>
        <w:autoSpaceDE/>
        <w:autoSpaceDN/>
        <w:bidi w:val="0"/>
        <w:snapToGrid w:val="0"/>
        <w:spacing w:line="360" w:lineRule="auto"/>
        <w:ind w:left="0" w:leftChars="0" w:firstLine="400" w:firstLineChars="200"/>
        <w:outlineLvl w:val="9"/>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供应商（乙方）：</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成交人</w:t>
      </w:r>
      <w:r>
        <w:rPr>
          <w:rFonts w:hint="eastAsia" w:ascii="仿宋" w:hAnsi="仿宋" w:eastAsia="仿宋" w:cs="仿宋"/>
          <w:color w:val="auto"/>
          <w:kern w:val="0"/>
          <w:sz w:val="20"/>
          <w:szCs w:val="20"/>
          <w:highlight w:val="none"/>
        </w:rPr>
        <w:t>）</w:t>
      </w:r>
    </w:p>
    <w:p w14:paraId="091D7698">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根据《中华人民共和国政府采购法》及实施条例、《中华人民共和国民法典》和甲方</w:t>
      </w:r>
      <w:r>
        <w:rPr>
          <w:rFonts w:hint="eastAsia" w:ascii="仿宋" w:hAnsi="仿宋" w:eastAsia="仿宋" w:cs="仿宋"/>
          <w:color w:val="auto"/>
          <w:kern w:val="0"/>
          <w:sz w:val="20"/>
          <w:szCs w:val="20"/>
          <w:highlight w:val="none"/>
          <w:u w:val="single"/>
          <w:lang w:eastAsia="zh-CN"/>
        </w:rPr>
        <w:t>融媒体播出制作系统升级维护</w:t>
      </w:r>
      <w:r>
        <w:rPr>
          <w:rFonts w:hint="eastAsia" w:ascii="仿宋" w:hAnsi="仿宋" w:eastAsia="仿宋" w:cs="仿宋"/>
          <w:color w:val="auto"/>
          <w:kern w:val="0"/>
          <w:sz w:val="20"/>
          <w:szCs w:val="20"/>
          <w:lang w:val="en-US" w:eastAsia="zh-CN" w:bidi="ar-SA"/>
        </w:rPr>
        <w:t>（</w:t>
      </w:r>
      <w:r>
        <w:rPr>
          <w:rFonts w:hint="eastAsia" w:ascii="仿宋" w:hAnsi="仿宋" w:eastAsia="仿宋" w:cs="仿宋"/>
          <w:color w:val="auto"/>
          <w:kern w:val="0"/>
          <w:sz w:val="20"/>
          <w:szCs w:val="20"/>
          <w:highlight w:val="none"/>
        </w:rPr>
        <w:t>项目编号：</w:t>
      </w:r>
      <w:r>
        <w:rPr>
          <w:rFonts w:hint="eastAsia" w:ascii="仿宋" w:hAnsi="仿宋" w:eastAsia="仿宋" w:cs="仿宋"/>
          <w:color w:val="auto"/>
          <w:kern w:val="0"/>
          <w:sz w:val="20"/>
          <w:szCs w:val="20"/>
          <w:highlight w:val="none"/>
          <w:u w:val="single"/>
          <w:lang w:eastAsia="zh-CN"/>
        </w:rPr>
        <w:t>HJCS2501-072</w:t>
      </w:r>
      <w:r>
        <w:rPr>
          <w:rFonts w:hint="eastAsia" w:ascii="仿宋" w:hAnsi="仿宋" w:eastAsia="仿宋" w:cs="仿宋"/>
          <w:color w:val="auto"/>
          <w:kern w:val="0"/>
          <w:sz w:val="20"/>
          <w:szCs w:val="20"/>
          <w:highlight w:val="none"/>
        </w:rPr>
        <w:t>）的</w:t>
      </w:r>
      <w:r>
        <w:rPr>
          <w:rFonts w:hint="eastAsia" w:ascii="仿宋" w:hAnsi="仿宋" w:eastAsia="仿宋" w:cs="仿宋"/>
          <w:color w:val="auto"/>
          <w:kern w:val="0"/>
          <w:sz w:val="20"/>
          <w:szCs w:val="20"/>
          <w:highlight w:val="none"/>
          <w:lang w:eastAsia="zh-CN"/>
        </w:rPr>
        <w:t>磋商文件</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响应文件</w:t>
      </w:r>
      <w:r>
        <w:rPr>
          <w:rFonts w:hint="eastAsia" w:ascii="仿宋" w:hAnsi="仿宋" w:eastAsia="仿宋" w:cs="仿宋"/>
          <w:color w:val="auto"/>
          <w:kern w:val="0"/>
          <w:sz w:val="20"/>
          <w:szCs w:val="20"/>
          <w:highlight w:val="none"/>
        </w:rPr>
        <w:t>等有关规定，为确保甲方采购项目的顺利实施，甲、乙双方在平等自愿原则下签订本合同，并共同遵守如下条款：</w:t>
      </w:r>
    </w:p>
    <w:p w14:paraId="1B52711D">
      <w:pPr>
        <w:pStyle w:val="12"/>
        <w:keepNext w:val="0"/>
        <w:keepLines w:val="0"/>
        <w:pageBreakBefore w:val="0"/>
        <w:kinsoku/>
        <w:wordWrap/>
        <w:overflowPunct/>
        <w:topLinePunct w:val="0"/>
        <w:autoSpaceDE/>
        <w:autoSpaceDN/>
        <w:bidi w:val="0"/>
        <w:snapToGrid w:val="0"/>
        <w:spacing w:line="360" w:lineRule="auto"/>
        <w:ind w:left="0" w:leftChars="0" w:firstLine="402" w:firstLineChars="200"/>
        <w:outlineLvl w:val="1"/>
        <w:rPr>
          <w:rFonts w:hint="eastAsia" w:ascii="仿宋" w:hAnsi="仿宋" w:eastAsia="仿宋" w:cs="仿宋"/>
          <w:b/>
          <w:color w:val="auto"/>
          <w:kern w:val="0"/>
          <w:sz w:val="20"/>
          <w:szCs w:val="20"/>
          <w:highlight w:val="none"/>
        </w:rPr>
      </w:pPr>
      <w:bookmarkStart w:id="0" w:name="_Toc8686"/>
      <w:bookmarkStart w:id="1" w:name="_Toc3373"/>
      <w:bookmarkStart w:id="2" w:name="_Toc18934"/>
      <w:r>
        <w:rPr>
          <w:rFonts w:hint="eastAsia" w:ascii="仿宋" w:hAnsi="仿宋" w:eastAsia="仿宋" w:cs="仿宋"/>
          <w:b/>
          <w:color w:val="auto"/>
          <w:kern w:val="0"/>
          <w:sz w:val="20"/>
          <w:szCs w:val="20"/>
          <w:highlight w:val="none"/>
        </w:rPr>
        <w:t>第一条 合同标的及数量</w:t>
      </w:r>
      <w:bookmarkEnd w:id="0"/>
      <w:bookmarkEnd w:id="1"/>
      <w:bookmarkEnd w:id="2"/>
    </w:p>
    <w:p w14:paraId="634B52DB">
      <w:pPr>
        <w:pStyle w:val="12"/>
        <w:keepNext w:val="0"/>
        <w:keepLines w:val="0"/>
        <w:pageBreakBefore w:val="0"/>
        <w:kinsoku/>
        <w:wordWrap/>
        <w:overflowPunct/>
        <w:topLinePunct w:val="0"/>
        <w:autoSpaceDE/>
        <w:autoSpaceDN/>
        <w:bidi w:val="0"/>
        <w:snapToGrid w:val="0"/>
        <w:spacing w:line="360" w:lineRule="auto"/>
        <w:ind w:left="0" w:leftChars="0" w:firstLine="400" w:firstLineChars="200"/>
        <w:outlineLvl w:val="9"/>
        <w:rPr>
          <w:rFonts w:hint="eastAsia" w:ascii="仿宋" w:hAnsi="仿宋" w:eastAsia="仿宋" w:cs="仿宋"/>
          <w:b/>
          <w:color w:val="auto"/>
          <w:kern w:val="0"/>
          <w:sz w:val="20"/>
          <w:szCs w:val="20"/>
          <w:highlight w:val="none"/>
        </w:rPr>
      </w:pPr>
      <w:r>
        <w:rPr>
          <w:rFonts w:hint="eastAsia" w:ascii="仿宋" w:hAnsi="仿宋" w:eastAsia="仿宋" w:cs="仿宋"/>
          <w:color w:val="auto"/>
          <w:kern w:val="0"/>
          <w:sz w:val="20"/>
          <w:szCs w:val="20"/>
          <w:highlight w:val="none"/>
        </w:rPr>
        <w:t>乙方向甲方提供下列货物（产品）</w:t>
      </w:r>
      <w:r>
        <w:rPr>
          <w:rFonts w:hint="eastAsia" w:ascii="仿宋" w:hAnsi="仿宋" w:eastAsia="仿宋" w:cs="仿宋"/>
          <w:color w:val="auto"/>
          <w:kern w:val="0"/>
          <w:sz w:val="20"/>
          <w:szCs w:val="20"/>
          <w:highlight w:val="none"/>
          <w:lang w:val="en-US" w:eastAsia="zh-CN"/>
        </w:rPr>
        <w:t>及相关服务</w:t>
      </w:r>
      <w:r>
        <w:rPr>
          <w:rFonts w:hint="eastAsia" w:ascii="仿宋" w:hAnsi="仿宋" w:eastAsia="仿宋" w:cs="仿宋"/>
          <w:color w:val="auto"/>
          <w:kern w:val="0"/>
          <w:sz w:val="20"/>
          <w:szCs w:val="20"/>
          <w:highlight w:val="none"/>
        </w:rPr>
        <w:t>：</w:t>
      </w:r>
    </w:p>
    <w:p w14:paraId="2F57FA3E">
      <w:pPr>
        <w:pStyle w:val="6"/>
        <w:keepNext w:val="0"/>
        <w:keepLines w:val="0"/>
        <w:pageBreakBefore w:val="0"/>
        <w:kinsoku/>
        <w:wordWrap/>
        <w:overflowPunct/>
        <w:topLinePunct w:val="0"/>
        <w:autoSpaceDE/>
        <w:autoSpaceDN/>
        <w:bidi w:val="0"/>
        <w:snapToGrid w:val="0"/>
        <w:spacing w:line="360" w:lineRule="auto"/>
        <w:ind w:left="0" w:leftChars="0" w:firstLine="402" w:firstLineChars="200"/>
        <w:jc w:val="center"/>
        <w:outlineLvl w:val="9"/>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货物（产品）及相关服务一览表</w:t>
      </w:r>
    </w:p>
    <w:tbl>
      <w:tblPr>
        <w:tblStyle w:val="10"/>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162"/>
        <w:gridCol w:w="1601"/>
      </w:tblGrid>
      <w:tr w14:paraId="1F093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14:paraId="02191D49">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bookmarkStart w:id="3" w:name="_Toc21343"/>
            <w:bookmarkStart w:id="4" w:name="_Toc26294"/>
            <w:bookmarkStart w:id="5" w:name="_Toc7471"/>
            <w:bookmarkStart w:id="6" w:name="_Toc31400"/>
            <w:bookmarkStart w:id="7" w:name="_Toc1631"/>
            <w:r>
              <w:rPr>
                <w:rFonts w:hint="eastAsia" w:ascii="仿宋" w:hAnsi="仿宋" w:eastAsia="仿宋" w:cs="仿宋"/>
                <w:color w:val="auto"/>
                <w:kern w:val="0"/>
                <w:sz w:val="20"/>
                <w:szCs w:val="20"/>
                <w:highlight w:val="none"/>
              </w:rPr>
              <w:t>序号</w:t>
            </w:r>
            <w:bookmarkEnd w:id="3"/>
            <w:bookmarkEnd w:id="4"/>
            <w:bookmarkEnd w:id="5"/>
            <w:bookmarkEnd w:id="6"/>
            <w:bookmarkEnd w:id="7"/>
          </w:p>
        </w:tc>
        <w:tc>
          <w:tcPr>
            <w:tcW w:w="1461" w:type="dxa"/>
            <w:vAlign w:val="center"/>
          </w:tcPr>
          <w:p w14:paraId="197237EE">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center"/>
              <w:textAlignment w:val="auto"/>
              <w:outlineLvl w:val="9"/>
              <w:rPr>
                <w:rFonts w:hint="eastAsia" w:ascii="仿宋" w:hAnsi="仿宋" w:eastAsia="仿宋" w:cs="仿宋"/>
                <w:color w:val="auto"/>
                <w:kern w:val="0"/>
                <w:sz w:val="20"/>
                <w:szCs w:val="20"/>
                <w:highlight w:val="none"/>
              </w:rPr>
            </w:pPr>
            <w:bookmarkStart w:id="8" w:name="_Toc22389"/>
            <w:bookmarkStart w:id="9" w:name="_Toc3968"/>
            <w:bookmarkStart w:id="10" w:name="_Toc23183"/>
            <w:bookmarkStart w:id="11" w:name="_Toc678"/>
            <w:bookmarkStart w:id="12" w:name="_Toc6445"/>
            <w:r>
              <w:rPr>
                <w:rFonts w:hint="eastAsia" w:ascii="仿宋" w:hAnsi="仿宋" w:eastAsia="仿宋" w:cs="仿宋"/>
                <w:color w:val="auto"/>
                <w:kern w:val="0"/>
                <w:sz w:val="20"/>
                <w:szCs w:val="20"/>
                <w:highlight w:val="none"/>
              </w:rPr>
              <w:t>名称</w:t>
            </w:r>
            <w:bookmarkEnd w:id="8"/>
            <w:bookmarkEnd w:id="9"/>
            <w:bookmarkEnd w:id="10"/>
            <w:bookmarkEnd w:id="11"/>
            <w:bookmarkEnd w:id="12"/>
          </w:p>
        </w:tc>
        <w:tc>
          <w:tcPr>
            <w:tcW w:w="1623" w:type="dxa"/>
            <w:vAlign w:val="center"/>
          </w:tcPr>
          <w:p w14:paraId="646D488D">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default" w:ascii="仿宋" w:hAnsi="仿宋" w:eastAsia="仿宋" w:cs="仿宋"/>
                <w:color w:val="auto"/>
                <w:kern w:val="0"/>
                <w:sz w:val="20"/>
                <w:szCs w:val="20"/>
                <w:highlight w:val="none"/>
                <w:lang w:val="en-US" w:eastAsia="zh-CN"/>
              </w:rPr>
            </w:pPr>
            <w:bookmarkStart w:id="13" w:name="_Toc16370"/>
            <w:bookmarkStart w:id="14" w:name="_Toc13493"/>
            <w:bookmarkStart w:id="15" w:name="_Toc31540"/>
            <w:bookmarkStart w:id="16" w:name="_Toc5820"/>
            <w:bookmarkStart w:id="17" w:name="_Toc6213"/>
            <w:r>
              <w:rPr>
                <w:rFonts w:hint="eastAsia" w:ascii="仿宋" w:hAnsi="仿宋" w:eastAsia="仿宋" w:cs="仿宋"/>
                <w:color w:val="auto"/>
                <w:kern w:val="0"/>
                <w:sz w:val="20"/>
                <w:szCs w:val="20"/>
                <w:highlight w:val="none"/>
              </w:rPr>
              <w:t>品牌</w:t>
            </w:r>
            <w:bookmarkEnd w:id="13"/>
            <w:bookmarkEnd w:id="14"/>
            <w:bookmarkEnd w:id="15"/>
            <w:bookmarkEnd w:id="16"/>
            <w:bookmarkEnd w:id="17"/>
            <w:r>
              <w:rPr>
                <w:rFonts w:hint="eastAsia" w:ascii="仿宋" w:hAnsi="仿宋" w:eastAsia="仿宋" w:cs="仿宋"/>
                <w:color w:val="auto"/>
                <w:kern w:val="0"/>
                <w:sz w:val="20"/>
                <w:szCs w:val="20"/>
                <w:highlight w:val="none"/>
                <w:lang w:val="en-US" w:eastAsia="zh-CN"/>
              </w:rPr>
              <w:t>及制造商</w:t>
            </w:r>
          </w:p>
        </w:tc>
        <w:tc>
          <w:tcPr>
            <w:tcW w:w="832" w:type="dxa"/>
            <w:vAlign w:val="center"/>
          </w:tcPr>
          <w:p w14:paraId="5DEEB243">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bookmarkStart w:id="18" w:name="_Toc15931"/>
            <w:bookmarkStart w:id="19" w:name="_Toc3931"/>
            <w:bookmarkStart w:id="20" w:name="_Toc21205"/>
            <w:bookmarkStart w:id="21" w:name="_Toc5177"/>
            <w:bookmarkStart w:id="22" w:name="_Toc3362"/>
            <w:r>
              <w:rPr>
                <w:rFonts w:hint="eastAsia" w:ascii="仿宋" w:hAnsi="仿宋" w:eastAsia="仿宋" w:cs="仿宋"/>
                <w:color w:val="auto"/>
                <w:kern w:val="0"/>
                <w:sz w:val="20"/>
                <w:szCs w:val="20"/>
                <w:highlight w:val="none"/>
              </w:rPr>
              <w:t>规格</w:t>
            </w:r>
            <w:bookmarkEnd w:id="18"/>
            <w:bookmarkEnd w:id="19"/>
            <w:bookmarkEnd w:id="20"/>
            <w:bookmarkEnd w:id="21"/>
            <w:bookmarkEnd w:id="22"/>
            <w:r>
              <w:rPr>
                <w:rFonts w:hint="eastAsia" w:ascii="仿宋" w:hAnsi="仿宋" w:eastAsia="仿宋" w:cs="仿宋"/>
                <w:color w:val="auto"/>
                <w:kern w:val="0"/>
                <w:sz w:val="20"/>
                <w:szCs w:val="20"/>
                <w:highlight w:val="none"/>
              </w:rPr>
              <w:t>型号</w:t>
            </w:r>
          </w:p>
        </w:tc>
        <w:tc>
          <w:tcPr>
            <w:tcW w:w="822" w:type="dxa"/>
            <w:vAlign w:val="center"/>
          </w:tcPr>
          <w:p w14:paraId="22179A8D">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bookmarkStart w:id="23" w:name="_Toc16004"/>
            <w:bookmarkStart w:id="24" w:name="_Toc18669"/>
            <w:bookmarkStart w:id="25" w:name="_Toc30791"/>
            <w:bookmarkStart w:id="26" w:name="_Toc8364"/>
            <w:bookmarkStart w:id="27" w:name="_Toc13801"/>
            <w:r>
              <w:rPr>
                <w:rFonts w:hint="eastAsia" w:ascii="仿宋" w:hAnsi="仿宋" w:eastAsia="仿宋" w:cs="仿宋"/>
                <w:color w:val="auto"/>
                <w:kern w:val="0"/>
                <w:sz w:val="20"/>
                <w:szCs w:val="20"/>
                <w:highlight w:val="none"/>
              </w:rPr>
              <w:t>计量单位</w:t>
            </w:r>
            <w:bookmarkEnd w:id="23"/>
            <w:bookmarkEnd w:id="24"/>
            <w:bookmarkEnd w:id="25"/>
            <w:bookmarkEnd w:id="26"/>
            <w:bookmarkEnd w:id="27"/>
          </w:p>
        </w:tc>
        <w:tc>
          <w:tcPr>
            <w:tcW w:w="514" w:type="dxa"/>
            <w:vAlign w:val="center"/>
          </w:tcPr>
          <w:p w14:paraId="5332D9DF">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bookmarkStart w:id="28" w:name="_Toc19134"/>
            <w:bookmarkStart w:id="29" w:name="_Toc29871"/>
            <w:bookmarkStart w:id="30" w:name="_Toc24569"/>
            <w:bookmarkStart w:id="31" w:name="_Toc609"/>
            <w:bookmarkStart w:id="32" w:name="_Toc9231"/>
            <w:r>
              <w:rPr>
                <w:rFonts w:hint="eastAsia" w:ascii="仿宋" w:hAnsi="仿宋" w:eastAsia="仿宋" w:cs="仿宋"/>
                <w:color w:val="auto"/>
                <w:kern w:val="0"/>
                <w:sz w:val="20"/>
                <w:szCs w:val="20"/>
                <w:highlight w:val="none"/>
              </w:rPr>
              <w:t>数量</w:t>
            </w:r>
            <w:bookmarkEnd w:id="28"/>
            <w:bookmarkEnd w:id="29"/>
            <w:bookmarkEnd w:id="30"/>
            <w:bookmarkEnd w:id="31"/>
            <w:bookmarkEnd w:id="32"/>
          </w:p>
        </w:tc>
        <w:tc>
          <w:tcPr>
            <w:tcW w:w="1162" w:type="dxa"/>
            <w:vAlign w:val="center"/>
          </w:tcPr>
          <w:p w14:paraId="0981F56D">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bookmarkStart w:id="33" w:name="_Toc29589"/>
            <w:bookmarkStart w:id="34" w:name="_Toc23932"/>
            <w:bookmarkStart w:id="35" w:name="_Toc22269"/>
            <w:bookmarkStart w:id="36" w:name="_Toc5020"/>
            <w:bookmarkStart w:id="37" w:name="_Toc1373"/>
            <w:r>
              <w:rPr>
                <w:rFonts w:hint="eastAsia" w:ascii="仿宋" w:hAnsi="仿宋" w:eastAsia="仿宋" w:cs="仿宋"/>
                <w:color w:val="auto"/>
                <w:kern w:val="0"/>
                <w:sz w:val="20"/>
                <w:szCs w:val="20"/>
                <w:highlight w:val="none"/>
              </w:rPr>
              <w:t>单价（元）</w:t>
            </w:r>
            <w:bookmarkEnd w:id="33"/>
            <w:bookmarkEnd w:id="34"/>
            <w:bookmarkEnd w:id="35"/>
            <w:bookmarkEnd w:id="36"/>
            <w:bookmarkEnd w:id="37"/>
          </w:p>
        </w:tc>
        <w:tc>
          <w:tcPr>
            <w:tcW w:w="1601" w:type="dxa"/>
            <w:vAlign w:val="center"/>
          </w:tcPr>
          <w:p w14:paraId="7896A121">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bookmarkStart w:id="38" w:name="_Toc14510"/>
            <w:bookmarkStart w:id="39" w:name="_Toc17545"/>
            <w:bookmarkStart w:id="40" w:name="_Toc23619"/>
            <w:bookmarkStart w:id="41" w:name="_Toc26062"/>
            <w:bookmarkStart w:id="42" w:name="_Toc32579"/>
            <w:r>
              <w:rPr>
                <w:rFonts w:hint="eastAsia" w:ascii="仿宋" w:hAnsi="仿宋" w:eastAsia="仿宋" w:cs="仿宋"/>
                <w:color w:val="auto"/>
                <w:kern w:val="0"/>
                <w:sz w:val="20"/>
                <w:szCs w:val="20"/>
                <w:highlight w:val="none"/>
              </w:rPr>
              <w:t>金额 (元)</w:t>
            </w:r>
            <w:bookmarkEnd w:id="38"/>
            <w:bookmarkEnd w:id="39"/>
            <w:bookmarkEnd w:id="40"/>
            <w:bookmarkEnd w:id="41"/>
            <w:bookmarkEnd w:id="42"/>
          </w:p>
        </w:tc>
      </w:tr>
      <w:tr w14:paraId="4767C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1F7E2CDB">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461" w:type="dxa"/>
          </w:tcPr>
          <w:p w14:paraId="7118E88C">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623" w:type="dxa"/>
          </w:tcPr>
          <w:p w14:paraId="4D95C782">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832" w:type="dxa"/>
          </w:tcPr>
          <w:p w14:paraId="763D3A9F">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822" w:type="dxa"/>
          </w:tcPr>
          <w:p w14:paraId="363BA0F7">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514" w:type="dxa"/>
          </w:tcPr>
          <w:p w14:paraId="5D040CB8">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162" w:type="dxa"/>
          </w:tcPr>
          <w:p w14:paraId="46A6FA51">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601" w:type="dxa"/>
          </w:tcPr>
          <w:p w14:paraId="541E2904">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r>
      <w:tr w14:paraId="164B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5BA61E7D">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461" w:type="dxa"/>
          </w:tcPr>
          <w:p w14:paraId="769C0DAB">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623" w:type="dxa"/>
          </w:tcPr>
          <w:p w14:paraId="56968D73">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832" w:type="dxa"/>
          </w:tcPr>
          <w:p w14:paraId="5E66EDD6">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822" w:type="dxa"/>
          </w:tcPr>
          <w:p w14:paraId="0B5E3068">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514" w:type="dxa"/>
          </w:tcPr>
          <w:p w14:paraId="716351C2">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162" w:type="dxa"/>
          </w:tcPr>
          <w:p w14:paraId="4763BE78">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601" w:type="dxa"/>
          </w:tcPr>
          <w:p w14:paraId="31A29976">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r>
      <w:tr w14:paraId="276C8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3A7FAEEA">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461" w:type="dxa"/>
          </w:tcPr>
          <w:p w14:paraId="71807970">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623" w:type="dxa"/>
          </w:tcPr>
          <w:p w14:paraId="7AB507DE">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832" w:type="dxa"/>
          </w:tcPr>
          <w:p w14:paraId="0B634BD4">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822" w:type="dxa"/>
          </w:tcPr>
          <w:p w14:paraId="273D9A5F">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514" w:type="dxa"/>
          </w:tcPr>
          <w:p w14:paraId="78C761DF">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162" w:type="dxa"/>
          </w:tcPr>
          <w:p w14:paraId="5361F5F9">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c>
          <w:tcPr>
            <w:tcW w:w="1601" w:type="dxa"/>
          </w:tcPr>
          <w:p w14:paraId="25604DAC">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rPr>
            </w:pPr>
          </w:p>
        </w:tc>
      </w:tr>
      <w:tr w14:paraId="00DB2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vAlign w:val="center"/>
          </w:tcPr>
          <w:p w14:paraId="53F4D530">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center"/>
              <w:textAlignment w:val="auto"/>
              <w:outlineLvl w:val="9"/>
              <w:rPr>
                <w:rFonts w:hint="eastAsia" w:ascii="仿宋" w:hAnsi="仿宋" w:eastAsia="仿宋" w:cs="仿宋"/>
                <w:color w:val="auto"/>
                <w:kern w:val="0"/>
                <w:sz w:val="20"/>
                <w:szCs w:val="20"/>
                <w:highlight w:val="none"/>
                <w:lang w:eastAsia="zh-CN"/>
              </w:rPr>
            </w:pPr>
            <w:bookmarkStart w:id="43" w:name="_Toc25107"/>
            <w:bookmarkStart w:id="44" w:name="_Toc16401"/>
            <w:bookmarkStart w:id="45" w:name="_Toc18746"/>
            <w:bookmarkStart w:id="46" w:name="_Toc15703"/>
            <w:bookmarkStart w:id="47" w:name="_Toc10934"/>
            <w:r>
              <w:rPr>
                <w:rFonts w:hint="eastAsia" w:ascii="仿宋" w:hAnsi="仿宋" w:eastAsia="仿宋" w:cs="仿宋"/>
                <w:color w:val="auto"/>
                <w:kern w:val="0"/>
                <w:sz w:val="20"/>
                <w:szCs w:val="20"/>
                <w:highlight w:val="none"/>
              </w:rPr>
              <w:t>合计</w:t>
            </w:r>
            <w:bookmarkEnd w:id="43"/>
            <w:bookmarkEnd w:id="44"/>
            <w:bookmarkEnd w:id="45"/>
            <w:bookmarkEnd w:id="46"/>
            <w:bookmarkEnd w:id="47"/>
            <w:r>
              <w:rPr>
                <w:rFonts w:hint="eastAsia" w:ascii="仿宋" w:hAnsi="仿宋" w:eastAsia="仿宋" w:cs="仿宋"/>
                <w:color w:val="auto"/>
                <w:kern w:val="0"/>
                <w:sz w:val="20"/>
                <w:szCs w:val="20"/>
                <w:highlight w:val="none"/>
                <w:lang w:eastAsia="zh-CN"/>
              </w:rPr>
              <w:t>（</w:t>
            </w:r>
            <w:r>
              <w:rPr>
                <w:rFonts w:hint="eastAsia" w:ascii="仿宋" w:hAnsi="仿宋" w:eastAsia="仿宋" w:cs="仿宋"/>
                <w:color w:val="auto"/>
                <w:kern w:val="0"/>
                <w:sz w:val="20"/>
                <w:szCs w:val="20"/>
                <w:highlight w:val="none"/>
                <w:lang w:val="en-US" w:eastAsia="zh-CN"/>
              </w:rPr>
              <w:t>元</w:t>
            </w:r>
            <w:r>
              <w:rPr>
                <w:rFonts w:hint="eastAsia" w:ascii="仿宋" w:hAnsi="仿宋" w:eastAsia="仿宋" w:cs="仿宋"/>
                <w:color w:val="auto"/>
                <w:kern w:val="0"/>
                <w:sz w:val="20"/>
                <w:szCs w:val="20"/>
                <w:highlight w:val="none"/>
                <w:lang w:eastAsia="zh-CN"/>
              </w:rPr>
              <w:t>）</w:t>
            </w:r>
          </w:p>
        </w:tc>
        <w:tc>
          <w:tcPr>
            <w:tcW w:w="4931" w:type="dxa"/>
            <w:gridSpan w:val="5"/>
          </w:tcPr>
          <w:p w14:paraId="51DC949D">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大写：</w:t>
            </w:r>
          </w:p>
          <w:p w14:paraId="6879DC64">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9"/>
              <w:rPr>
                <w:rFonts w:hint="default"/>
                <w:color w:val="auto"/>
                <w:lang w:val="en-US" w:eastAsia="zh-CN"/>
              </w:rPr>
            </w:pPr>
            <w:r>
              <w:rPr>
                <w:rFonts w:hint="eastAsia" w:ascii="仿宋" w:hAnsi="仿宋" w:eastAsia="仿宋" w:cs="仿宋"/>
                <w:color w:val="auto"/>
                <w:kern w:val="0"/>
                <w:sz w:val="20"/>
                <w:szCs w:val="20"/>
                <w:highlight w:val="none"/>
                <w:lang w:val="en-US" w:eastAsia="zh-CN"/>
              </w:rPr>
              <w:t>小写：</w:t>
            </w:r>
          </w:p>
        </w:tc>
      </w:tr>
    </w:tbl>
    <w:p w14:paraId="063BCC0C">
      <w:pPr>
        <w:pStyle w:val="5"/>
        <w:keepNext w:val="0"/>
        <w:keepLines w:val="0"/>
        <w:pageBreakBefore w:val="0"/>
        <w:kinsoku/>
        <w:wordWrap/>
        <w:overflowPunct/>
        <w:topLinePunct w:val="0"/>
        <w:autoSpaceDE/>
        <w:autoSpaceDN/>
        <w:bidi w:val="0"/>
        <w:snapToGrid w:val="0"/>
        <w:spacing w:line="360" w:lineRule="auto"/>
        <w:ind w:left="0" w:leftChars="0" w:firstLine="402" w:firstLineChars="200"/>
        <w:jc w:val="both"/>
        <w:rPr>
          <w:rFonts w:hint="eastAsia" w:ascii="仿宋" w:hAnsi="仿宋" w:eastAsia="仿宋" w:cs="仿宋"/>
          <w:color w:val="auto"/>
          <w:kern w:val="0"/>
          <w:sz w:val="20"/>
          <w:szCs w:val="20"/>
          <w:highlight w:val="none"/>
        </w:rPr>
      </w:pPr>
      <w:bookmarkStart w:id="48" w:name="_Toc6586"/>
      <w:bookmarkStart w:id="49" w:name="_Toc14881"/>
      <w:bookmarkStart w:id="50" w:name="_Toc28512"/>
      <w:r>
        <w:rPr>
          <w:rFonts w:hint="eastAsia" w:ascii="仿宋" w:hAnsi="仿宋" w:eastAsia="仿宋" w:cs="仿宋"/>
          <w:color w:val="auto"/>
          <w:kern w:val="0"/>
          <w:sz w:val="20"/>
          <w:szCs w:val="20"/>
          <w:highlight w:val="none"/>
        </w:rPr>
        <w:t>第二条 合同价款</w:t>
      </w:r>
      <w:bookmarkEnd w:id="48"/>
      <w:bookmarkEnd w:id="49"/>
      <w:bookmarkEnd w:id="50"/>
    </w:p>
    <w:p w14:paraId="7B6F597C">
      <w:pPr>
        <w:keepNext w:val="0"/>
        <w:keepLines w:val="0"/>
        <w:pageBreakBefore w:val="0"/>
        <w:kinsoku/>
        <w:wordWrap/>
        <w:overflowPunct/>
        <w:topLinePunct w:val="0"/>
        <w:autoSpaceDE/>
        <w:autoSpaceDN/>
        <w:bidi w:val="0"/>
        <w:snapToGrid w:val="0"/>
        <w:spacing w:line="360" w:lineRule="auto"/>
        <w:ind w:left="0" w:leftChars="0" w:firstLine="400" w:firstLineChars="200"/>
        <w:jc w:val="both"/>
        <w:outlineLvl w:val="9"/>
        <w:rPr>
          <w:rFonts w:hint="eastAsia" w:ascii="仿宋" w:hAnsi="仿宋" w:eastAsia="仿宋" w:cs="仿宋"/>
          <w:b w:val="0"/>
          <w:color w:val="auto"/>
          <w:kern w:val="0"/>
          <w:sz w:val="20"/>
          <w:szCs w:val="20"/>
          <w:highlight w:val="none"/>
        </w:rPr>
      </w:pPr>
      <w:r>
        <w:rPr>
          <w:rFonts w:hint="eastAsia" w:ascii="仿宋" w:hAnsi="仿宋" w:eastAsia="仿宋" w:cs="仿宋"/>
          <w:b w:val="0"/>
          <w:color w:val="auto"/>
          <w:kern w:val="0"/>
          <w:sz w:val="20"/>
          <w:szCs w:val="20"/>
          <w:highlight w:val="none"/>
        </w:rPr>
        <w:t>1.合同总价：人民币（大写）</w:t>
      </w:r>
      <w:r>
        <w:rPr>
          <w:rFonts w:hint="eastAsia" w:ascii="仿宋" w:hAnsi="仿宋" w:eastAsia="仿宋" w:cs="仿宋"/>
          <w:b w:val="0"/>
          <w:color w:val="auto"/>
          <w:kern w:val="0"/>
          <w:sz w:val="20"/>
          <w:szCs w:val="20"/>
          <w:highlight w:val="none"/>
          <w:u w:val="single"/>
        </w:rPr>
        <w:t xml:space="preserve">                 </w:t>
      </w:r>
      <w:r>
        <w:rPr>
          <w:rFonts w:hint="eastAsia" w:ascii="仿宋" w:hAnsi="仿宋" w:eastAsia="仿宋" w:cs="仿宋"/>
          <w:b w:val="0"/>
          <w:color w:val="auto"/>
          <w:kern w:val="0"/>
          <w:sz w:val="20"/>
          <w:szCs w:val="20"/>
          <w:highlight w:val="none"/>
        </w:rPr>
        <w:t xml:space="preserve"> 元，（￥</w:t>
      </w:r>
      <w:r>
        <w:rPr>
          <w:rFonts w:hint="eastAsia" w:ascii="仿宋" w:hAnsi="仿宋" w:eastAsia="仿宋" w:cs="仿宋"/>
          <w:b w:val="0"/>
          <w:color w:val="auto"/>
          <w:kern w:val="0"/>
          <w:sz w:val="20"/>
          <w:szCs w:val="20"/>
          <w:highlight w:val="none"/>
          <w:u w:val="single"/>
        </w:rPr>
        <w:t xml:space="preserve">           </w:t>
      </w:r>
      <w:r>
        <w:rPr>
          <w:rFonts w:hint="eastAsia" w:ascii="仿宋" w:hAnsi="仿宋" w:eastAsia="仿宋" w:cs="仿宋"/>
          <w:b w:val="0"/>
          <w:color w:val="auto"/>
          <w:kern w:val="0"/>
          <w:sz w:val="20"/>
          <w:szCs w:val="20"/>
          <w:highlight w:val="none"/>
        </w:rPr>
        <w:t xml:space="preserve"> ）。</w:t>
      </w:r>
    </w:p>
    <w:p w14:paraId="0F59EA2E">
      <w:pPr>
        <w:keepNext w:val="0"/>
        <w:keepLines w:val="0"/>
        <w:pageBreakBefore w:val="0"/>
        <w:kinsoku/>
        <w:wordWrap/>
        <w:overflowPunct/>
        <w:topLinePunct w:val="0"/>
        <w:autoSpaceDE/>
        <w:autoSpaceDN/>
        <w:bidi w:val="0"/>
        <w:snapToGrid w:val="0"/>
        <w:spacing w:line="360" w:lineRule="auto"/>
        <w:ind w:left="0" w:leftChars="0" w:firstLine="400" w:firstLineChars="200"/>
        <w:jc w:val="left"/>
        <w:outlineLvl w:val="9"/>
        <w:rPr>
          <w:rFonts w:hint="eastAsia" w:ascii="仿宋" w:hAnsi="仿宋" w:eastAsia="仿宋" w:cs="仿宋"/>
          <w:b w:val="0"/>
          <w:color w:val="auto"/>
          <w:kern w:val="0"/>
          <w:sz w:val="20"/>
          <w:szCs w:val="20"/>
          <w:highlight w:val="none"/>
        </w:rPr>
      </w:pPr>
      <w:r>
        <w:rPr>
          <w:rFonts w:hint="eastAsia" w:ascii="仿宋" w:hAnsi="仿宋" w:eastAsia="仿宋" w:cs="仿宋"/>
          <w:b w:val="0"/>
          <w:color w:val="auto"/>
          <w:kern w:val="0"/>
          <w:sz w:val="20"/>
          <w:szCs w:val="20"/>
          <w:highlight w:val="none"/>
        </w:rPr>
        <w:t>2.本合同总价是产品、</w:t>
      </w:r>
      <w:r>
        <w:rPr>
          <w:rFonts w:hint="eastAsia" w:ascii="仿宋" w:hAnsi="仿宋" w:eastAsia="仿宋" w:cs="仿宋"/>
          <w:b w:val="0"/>
          <w:color w:val="auto"/>
          <w:kern w:val="0"/>
          <w:sz w:val="20"/>
          <w:szCs w:val="20"/>
          <w:highlight w:val="none"/>
          <w:lang w:val="en-US" w:eastAsia="zh-CN"/>
        </w:rPr>
        <w:t>辅材</w:t>
      </w:r>
      <w:r>
        <w:rPr>
          <w:rFonts w:hint="eastAsia" w:ascii="仿宋" w:hAnsi="仿宋" w:eastAsia="仿宋" w:cs="仿宋"/>
          <w:b w:val="0"/>
          <w:color w:val="auto"/>
          <w:kern w:val="0"/>
          <w:sz w:val="20"/>
          <w:szCs w:val="20"/>
          <w:highlight w:val="none"/>
        </w:rPr>
        <w:t>、制造、包装、运输、安装、调试、检测、验收合格交付使用之前及保修期内保修服务与备用物件等其他有关各项的含税费用。</w:t>
      </w:r>
    </w:p>
    <w:p w14:paraId="503B681A">
      <w:pPr>
        <w:keepNext w:val="0"/>
        <w:keepLines w:val="0"/>
        <w:pageBreakBefore w:val="0"/>
        <w:kinsoku/>
        <w:wordWrap/>
        <w:overflowPunct/>
        <w:topLinePunct w:val="0"/>
        <w:autoSpaceDE/>
        <w:autoSpaceDN/>
        <w:bidi w:val="0"/>
        <w:snapToGrid w:val="0"/>
        <w:spacing w:line="360" w:lineRule="auto"/>
        <w:ind w:left="0" w:leftChars="0" w:firstLine="400" w:firstLineChars="200"/>
        <w:jc w:val="both"/>
        <w:outlineLvl w:val="9"/>
        <w:rPr>
          <w:rFonts w:hint="eastAsia" w:ascii="仿宋" w:hAnsi="仿宋" w:eastAsia="仿宋" w:cs="仿宋"/>
          <w:b w:val="0"/>
          <w:color w:val="auto"/>
          <w:kern w:val="0"/>
          <w:sz w:val="20"/>
          <w:szCs w:val="20"/>
          <w:highlight w:val="none"/>
        </w:rPr>
      </w:pPr>
      <w:r>
        <w:rPr>
          <w:rFonts w:hint="eastAsia" w:ascii="仿宋" w:hAnsi="仿宋" w:eastAsia="仿宋" w:cs="仿宋"/>
          <w:b w:val="0"/>
          <w:color w:val="auto"/>
          <w:kern w:val="0"/>
          <w:sz w:val="20"/>
          <w:szCs w:val="20"/>
          <w:highlight w:val="none"/>
        </w:rPr>
        <w:t>3.本合同总价还包含乙方应当提供的</w:t>
      </w:r>
      <w:r>
        <w:rPr>
          <w:rFonts w:hint="eastAsia" w:ascii="仿宋" w:hAnsi="仿宋" w:eastAsia="仿宋" w:cs="仿宋"/>
          <w:b w:val="0"/>
          <w:color w:val="auto"/>
          <w:kern w:val="0"/>
          <w:sz w:val="20"/>
          <w:szCs w:val="20"/>
          <w:highlight w:val="none"/>
          <w:lang w:val="en-US" w:eastAsia="zh-CN"/>
        </w:rPr>
        <w:t>运维</w:t>
      </w:r>
      <w:r>
        <w:rPr>
          <w:rFonts w:hint="eastAsia" w:ascii="仿宋" w:hAnsi="仿宋" w:eastAsia="仿宋" w:cs="仿宋"/>
          <w:b w:val="0"/>
          <w:color w:val="auto"/>
          <w:kern w:val="0"/>
          <w:sz w:val="20"/>
          <w:szCs w:val="20"/>
          <w:highlight w:val="none"/>
        </w:rPr>
        <w:t>服务和售后服务费用。</w:t>
      </w:r>
    </w:p>
    <w:p w14:paraId="3E3D83AF">
      <w:pPr>
        <w:keepNext w:val="0"/>
        <w:keepLines w:val="0"/>
        <w:pageBreakBefore w:val="0"/>
        <w:kinsoku/>
        <w:wordWrap/>
        <w:overflowPunct/>
        <w:topLinePunct w:val="0"/>
        <w:autoSpaceDE/>
        <w:autoSpaceDN/>
        <w:bidi w:val="0"/>
        <w:snapToGrid w:val="0"/>
        <w:spacing w:line="360" w:lineRule="auto"/>
        <w:ind w:left="0" w:leftChars="0" w:firstLine="400" w:firstLineChars="200"/>
        <w:jc w:val="left"/>
        <w:outlineLvl w:val="9"/>
        <w:rPr>
          <w:rFonts w:hint="eastAsia" w:ascii="仿宋" w:hAnsi="仿宋" w:eastAsia="仿宋" w:cs="仿宋"/>
          <w:color w:val="auto"/>
          <w:kern w:val="0"/>
          <w:sz w:val="20"/>
          <w:szCs w:val="20"/>
          <w:highlight w:val="none"/>
        </w:rPr>
      </w:pPr>
      <w:r>
        <w:rPr>
          <w:rFonts w:hint="eastAsia" w:ascii="仿宋" w:hAnsi="仿宋" w:eastAsia="仿宋" w:cs="仿宋"/>
          <w:b w:val="0"/>
          <w:color w:val="auto"/>
          <w:kern w:val="0"/>
          <w:sz w:val="20"/>
          <w:szCs w:val="20"/>
          <w:highlight w:val="none"/>
        </w:rPr>
        <w:t>4.本合同执行期间合同总价不变，甲方无须另向乙方支付本合同规定之外的其他任何费用。</w:t>
      </w:r>
      <w:bookmarkStart w:id="51" w:name="_Toc31924"/>
    </w:p>
    <w:p w14:paraId="16B68E00">
      <w:pPr>
        <w:pStyle w:val="5"/>
        <w:keepNext w:val="0"/>
        <w:keepLines w:val="0"/>
        <w:pageBreakBefore w:val="0"/>
        <w:kinsoku/>
        <w:wordWrap/>
        <w:overflowPunct/>
        <w:topLinePunct w:val="0"/>
        <w:autoSpaceDE/>
        <w:autoSpaceDN/>
        <w:bidi w:val="0"/>
        <w:snapToGrid w:val="0"/>
        <w:spacing w:line="360" w:lineRule="auto"/>
        <w:ind w:left="0" w:leftChars="0" w:firstLine="402" w:firstLineChars="200"/>
        <w:jc w:val="both"/>
        <w:rPr>
          <w:rFonts w:hint="eastAsia" w:ascii="仿宋" w:hAnsi="仿宋" w:eastAsia="仿宋" w:cs="仿宋"/>
          <w:color w:val="auto"/>
          <w:kern w:val="0"/>
          <w:sz w:val="20"/>
          <w:szCs w:val="20"/>
          <w:lang w:val="en-US" w:eastAsia="zh-CN"/>
        </w:rPr>
      </w:pPr>
      <w:bookmarkStart w:id="52" w:name="_Toc2721"/>
      <w:bookmarkStart w:id="53" w:name="_Toc14426"/>
      <w:r>
        <w:rPr>
          <w:rFonts w:hint="eastAsia" w:ascii="仿宋" w:hAnsi="仿宋" w:eastAsia="仿宋" w:cs="仿宋"/>
          <w:color w:val="auto"/>
          <w:kern w:val="0"/>
          <w:sz w:val="20"/>
          <w:szCs w:val="20"/>
          <w:highlight w:val="none"/>
        </w:rPr>
        <w:t xml:space="preserve">第三条 </w:t>
      </w:r>
      <w:r>
        <w:rPr>
          <w:rFonts w:hint="eastAsia" w:ascii="仿宋" w:hAnsi="仿宋" w:eastAsia="仿宋" w:cs="仿宋"/>
          <w:color w:val="auto"/>
          <w:kern w:val="0"/>
          <w:sz w:val="20"/>
          <w:szCs w:val="20"/>
          <w:highlight w:val="none"/>
          <w:lang w:val="en-US" w:eastAsia="zh-CN"/>
        </w:rPr>
        <w:t>合同价款</w:t>
      </w:r>
      <w:r>
        <w:rPr>
          <w:rFonts w:hint="eastAsia" w:ascii="仿宋" w:hAnsi="仿宋" w:eastAsia="仿宋" w:cs="仿宋"/>
          <w:color w:val="auto"/>
          <w:kern w:val="0"/>
          <w:sz w:val="20"/>
          <w:szCs w:val="20"/>
          <w:highlight w:val="none"/>
        </w:rPr>
        <w:t>支付</w:t>
      </w:r>
      <w:bookmarkEnd w:id="51"/>
      <w:bookmarkEnd w:id="52"/>
      <w:bookmarkEnd w:id="53"/>
    </w:p>
    <w:p w14:paraId="3D5BFCFB">
      <w:pPr>
        <w:pStyle w:val="12"/>
        <w:keepNext w:val="0"/>
        <w:keepLines w:val="0"/>
        <w:pageBreakBefore w:val="0"/>
        <w:numPr>
          <w:ilvl w:val="0"/>
          <w:numId w:val="0"/>
        </w:numPr>
        <w:kinsoku/>
        <w:wordWrap/>
        <w:overflowPunct/>
        <w:topLinePunct w:val="0"/>
        <w:autoSpaceDE/>
        <w:autoSpaceDN/>
        <w:bidi w:val="0"/>
        <w:snapToGrid w:val="0"/>
        <w:spacing w:line="360" w:lineRule="auto"/>
        <w:ind w:left="0" w:leftChars="0" w:firstLine="400" w:firstLineChars="200"/>
        <w:outlineLvl w:val="1"/>
        <w:rPr>
          <w:rFonts w:hint="eastAsia" w:ascii="仿宋" w:hAnsi="仿宋" w:eastAsia="仿宋" w:cs="仿宋"/>
          <w:color w:val="auto"/>
          <w:kern w:val="0"/>
          <w:sz w:val="20"/>
          <w:szCs w:val="20"/>
          <w:lang w:val="en-US" w:eastAsia="zh-CN"/>
        </w:rPr>
      </w:pPr>
      <w:bookmarkStart w:id="54" w:name="_Toc7176"/>
      <w:bookmarkStart w:id="55" w:name="_Toc24977"/>
      <w:bookmarkStart w:id="56" w:name="_Toc7450"/>
      <w:r>
        <w:rPr>
          <w:rFonts w:hint="eastAsia" w:ascii="仿宋" w:hAnsi="仿宋" w:eastAsia="仿宋" w:cs="仿宋"/>
          <w:color w:val="auto"/>
          <w:kern w:val="0"/>
          <w:sz w:val="20"/>
          <w:szCs w:val="20"/>
          <w:lang w:val="en-US" w:eastAsia="zh-CN"/>
        </w:rPr>
        <w:t>采购包1： 付款条件说明：合同签订之日起，达到付款条件起5日内，支付合同总金额的50.00%。</w:t>
      </w:r>
    </w:p>
    <w:p w14:paraId="1605EB0D">
      <w:pPr>
        <w:pStyle w:val="12"/>
        <w:keepNext w:val="0"/>
        <w:keepLines w:val="0"/>
        <w:pageBreakBefore w:val="0"/>
        <w:numPr>
          <w:ilvl w:val="0"/>
          <w:numId w:val="0"/>
        </w:numPr>
        <w:kinsoku/>
        <w:wordWrap/>
        <w:overflowPunct/>
        <w:topLinePunct w:val="0"/>
        <w:autoSpaceDE/>
        <w:autoSpaceDN/>
        <w:bidi w:val="0"/>
        <w:snapToGrid w:val="0"/>
        <w:spacing w:line="360" w:lineRule="auto"/>
        <w:ind w:left="0" w:leftChars="0" w:firstLine="400" w:firstLineChars="200"/>
        <w:outlineLvl w:val="1"/>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CN"/>
        </w:rPr>
        <w:t>设备到货安装调试完成后，达到付款条件起5日内，支付合同总金额的30.00%。</w:t>
      </w:r>
    </w:p>
    <w:p w14:paraId="5F172877">
      <w:pPr>
        <w:pStyle w:val="12"/>
        <w:keepNext w:val="0"/>
        <w:keepLines w:val="0"/>
        <w:pageBreakBefore w:val="0"/>
        <w:numPr>
          <w:ilvl w:val="0"/>
          <w:numId w:val="0"/>
        </w:numPr>
        <w:kinsoku/>
        <w:wordWrap/>
        <w:overflowPunct/>
        <w:topLinePunct w:val="0"/>
        <w:autoSpaceDE/>
        <w:autoSpaceDN/>
        <w:bidi w:val="0"/>
        <w:snapToGrid w:val="0"/>
        <w:spacing w:line="360" w:lineRule="auto"/>
        <w:ind w:left="0" w:leftChars="0" w:firstLine="400" w:firstLineChars="200"/>
        <w:outlineLvl w:val="1"/>
        <w:rPr>
          <w:rFonts w:hint="eastAsia" w:ascii="仿宋" w:hAnsi="仿宋" w:eastAsia="仿宋" w:cs="仿宋"/>
          <w:color w:val="auto"/>
          <w:kern w:val="0"/>
          <w:sz w:val="20"/>
          <w:szCs w:val="20"/>
          <w:lang w:val="en-US" w:eastAsia="zh-CN"/>
        </w:rPr>
      </w:pPr>
      <w:r>
        <w:rPr>
          <w:rFonts w:hint="eastAsia" w:ascii="仿宋" w:hAnsi="仿宋" w:eastAsia="仿宋" w:cs="仿宋"/>
          <w:color w:val="auto"/>
          <w:kern w:val="0"/>
          <w:sz w:val="20"/>
          <w:szCs w:val="20"/>
          <w:lang w:val="en-US" w:eastAsia="zh-CN"/>
        </w:rPr>
        <w:t>验收完成后，达到付款条件起5日内，支付合同总金额的20.00%。</w:t>
      </w:r>
    </w:p>
    <w:p w14:paraId="044B437A">
      <w:pPr>
        <w:pStyle w:val="12"/>
        <w:keepNext w:val="0"/>
        <w:keepLines w:val="0"/>
        <w:pageBreakBefore w:val="0"/>
        <w:numPr>
          <w:ilvl w:val="0"/>
          <w:numId w:val="1"/>
        </w:numPr>
        <w:kinsoku/>
        <w:wordWrap/>
        <w:overflowPunct/>
        <w:topLinePunct w:val="0"/>
        <w:autoSpaceDE/>
        <w:autoSpaceDN/>
        <w:bidi w:val="0"/>
        <w:snapToGrid w:val="0"/>
        <w:spacing w:line="360" w:lineRule="auto"/>
        <w:ind w:left="0" w:leftChars="0" w:firstLine="402" w:firstLineChars="200"/>
        <w:outlineLvl w:val="1"/>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rPr>
        <w:t>交</w:t>
      </w:r>
      <w:r>
        <w:rPr>
          <w:rFonts w:hint="eastAsia" w:ascii="仿宋" w:hAnsi="仿宋" w:eastAsia="仿宋" w:cs="仿宋"/>
          <w:b/>
          <w:color w:val="auto"/>
          <w:kern w:val="0"/>
          <w:sz w:val="20"/>
          <w:szCs w:val="20"/>
          <w:highlight w:val="none"/>
          <w:lang w:val="en-US" w:eastAsia="zh-CN"/>
        </w:rPr>
        <w:t>货期限</w:t>
      </w:r>
      <w:bookmarkEnd w:id="54"/>
      <w:bookmarkEnd w:id="55"/>
      <w:bookmarkEnd w:id="56"/>
    </w:p>
    <w:p w14:paraId="702DAA37">
      <w:pPr>
        <w:pStyle w:val="12"/>
        <w:keepNext w:val="0"/>
        <w:keepLines w:val="0"/>
        <w:pageBreakBefore w:val="0"/>
        <w:numPr>
          <w:ilvl w:val="0"/>
          <w:numId w:val="0"/>
        </w:numPr>
        <w:kinsoku/>
        <w:wordWrap/>
        <w:overflowPunct/>
        <w:topLinePunct w:val="0"/>
        <w:autoSpaceDE/>
        <w:autoSpaceDN/>
        <w:bidi w:val="0"/>
        <w:snapToGrid w:val="0"/>
        <w:spacing w:line="360" w:lineRule="auto"/>
        <w:ind w:left="0" w:leftChars="0" w:firstLine="400" w:firstLineChars="200"/>
        <w:outlineLvl w:val="1"/>
        <w:rPr>
          <w:rFonts w:hint="eastAsia" w:ascii="仿宋" w:hAnsi="仿宋" w:eastAsia="仿宋" w:cs="仿宋"/>
          <w:b w:val="0"/>
          <w:bCs/>
          <w:color w:val="auto"/>
          <w:kern w:val="0"/>
          <w:sz w:val="20"/>
          <w:szCs w:val="20"/>
          <w:highlight w:val="none"/>
          <w:lang w:val="en-US" w:eastAsia="zh-CN"/>
        </w:rPr>
      </w:pPr>
      <w:r>
        <w:rPr>
          <w:rFonts w:hint="eastAsia" w:ascii="仿宋" w:hAnsi="仿宋" w:eastAsia="仿宋" w:cs="仿宋"/>
          <w:b w:val="0"/>
          <w:bCs/>
          <w:color w:val="auto"/>
          <w:kern w:val="0"/>
          <w:sz w:val="20"/>
          <w:szCs w:val="20"/>
          <w:highlight w:val="none"/>
          <w:lang w:val="en-US" w:eastAsia="zh-CN"/>
        </w:rPr>
        <w:t>交货期：自合同签订之日起30个工作日内完成设备供货。</w:t>
      </w:r>
    </w:p>
    <w:p w14:paraId="585F189C">
      <w:pPr>
        <w:pStyle w:val="12"/>
        <w:keepNext w:val="0"/>
        <w:keepLines w:val="0"/>
        <w:pageBreakBefore w:val="0"/>
        <w:numPr>
          <w:ilvl w:val="0"/>
          <w:numId w:val="2"/>
        </w:numPr>
        <w:kinsoku/>
        <w:wordWrap/>
        <w:overflowPunct/>
        <w:topLinePunct w:val="0"/>
        <w:autoSpaceDE/>
        <w:autoSpaceDN/>
        <w:bidi w:val="0"/>
        <w:snapToGrid w:val="0"/>
        <w:spacing w:line="360" w:lineRule="auto"/>
        <w:ind w:left="0" w:leftChars="0" w:firstLine="402" w:firstLineChars="200"/>
        <w:outlineLvl w:val="1"/>
        <w:rPr>
          <w:rFonts w:hint="eastAsia" w:ascii="仿宋" w:hAnsi="仿宋" w:eastAsia="仿宋" w:cs="仿宋"/>
          <w:b/>
          <w:color w:val="auto"/>
          <w:kern w:val="0"/>
          <w:sz w:val="20"/>
          <w:szCs w:val="20"/>
          <w:highlight w:val="none"/>
          <w:lang w:val="en-US"/>
        </w:rPr>
      </w:pPr>
      <w:bookmarkStart w:id="57" w:name="_Toc8595"/>
      <w:r>
        <w:rPr>
          <w:rFonts w:hint="eastAsia" w:ascii="仿宋" w:hAnsi="仿宋" w:eastAsia="仿宋" w:cs="仿宋"/>
          <w:b/>
          <w:color w:val="auto"/>
          <w:kern w:val="0"/>
          <w:sz w:val="20"/>
          <w:szCs w:val="20"/>
          <w:highlight w:val="none"/>
          <w:lang w:val="en-US" w:eastAsia="zh-CN"/>
        </w:rPr>
        <w:t xml:space="preserve"> </w:t>
      </w:r>
      <w:bookmarkStart w:id="58" w:name="_Toc18347"/>
      <w:bookmarkStart w:id="59" w:name="_Toc2774"/>
      <w:r>
        <w:rPr>
          <w:rFonts w:hint="eastAsia" w:ascii="仿宋" w:hAnsi="仿宋" w:eastAsia="仿宋" w:cs="仿宋"/>
          <w:b/>
          <w:color w:val="auto"/>
          <w:kern w:val="0"/>
          <w:sz w:val="20"/>
          <w:szCs w:val="20"/>
          <w:highlight w:val="none"/>
        </w:rPr>
        <w:t>质</w:t>
      </w:r>
      <w:bookmarkEnd w:id="57"/>
      <w:r>
        <w:rPr>
          <w:rFonts w:hint="eastAsia" w:ascii="仿宋" w:hAnsi="仿宋" w:eastAsia="仿宋" w:cs="仿宋"/>
          <w:b/>
          <w:color w:val="auto"/>
          <w:kern w:val="0"/>
          <w:sz w:val="20"/>
          <w:szCs w:val="20"/>
          <w:highlight w:val="none"/>
          <w:lang w:val="en-US" w:eastAsia="zh-CN"/>
        </w:rPr>
        <w:t>保</w:t>
      </w:r>
      <w:bookmarkEnd w:id="58"/>
      <w:bookmarkEnd w:id="59"/>
      <w:r>
        <w:rPr>
          <w:rFonts w:hint="eastAsia" w:ascii="仿宋" w:hAnsi="仿宋" w:eastAsia="仿宋" w:cs="仿宋"/>
          <w:b/>
          <w:color w:val="auto"/>
          <w:kern w:val="0"/>
          <w:sz w:val="20"/>
          <w:szCs w:val="20"/>
          <w:highlight w:val="none"/>
          <w:lang w:val="en-US" w:eastAsia="zh-CN"/>
        </w:rPr>
        <w:t>保证</w:t>
      </w:r>
    </w:p>
    <w:p w14:paraId="4FB0A5E1">
      <w:pPr>
        <w:pStyle w:val="8"/>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rPr>
      </w:pPr>
      <w:bookmarkStart w:id="60" w:name="_Toc5147"/>
      <w:bookmarkStart w:id="61" w:name="_Toc23635"/>
      <w:bookmarkStart w:id="62" w:name="_Toc26000"/>
      <w:r>
        <w:rPr>
          <w:rFonts w:hint="eastAsia" w:ascii="仿宋" w:hAnsi="仿宋" w:eastAsia="仿宋" w:cs="仿宋"/>
          <w:color w:val="auto"/>
          <w:kern w:val="0"/>
          <w:sz w:val="20"/>
          <w:szCs w:val="20"/>
          <w:lang w:val="en-US" w:eastAsia="zh-CN"/>
        </w:rPr>
        <w:t>1.</w:t>
      </w:r>
      <w:r>
        <w:rPr>
          <w:rFonts w:hint="eastAsia" w:ascii="仿宋" w:hAnsi="仿宋" w:eastAsia="仿宋" w:cs="仿宋"/>
          <w:color w:val="auto"/>
          <w:kern w:val="0"/>
          <w:sz w:val="20"/>
          <w:szCs w:val="20"/>
        </w:rPr>
        <w:t>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30FC4414">
      <w:pPr>
        <w:pStyle w:val="8"/>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2.</w:t>
      </w:r>
      <w:r>
        <w:rPr>
          <w:rFonts w:hint="eastAsia" w:ascii="仿宋" w:hAnsi="仿宋" w:eastAsia="仿宋" w:cs="仿宋"/>
          <w:color w:val="auto"/>
          <w:kern w:val="0"/>
          <w:sz w:val="20"/>
          <w:szCs w:val="20"/>
        </w:rPr>
        <w:t>乙方提供的设备及配套产品必须等同于或优于合同技术指标要求，并能按国家标准供应、检测、调试，确保产品技术指标满足使用要求。</w:t>
      </w:r>
    </w:p>
    <w:p w14:paraId="520BFC43">
      <w:pPr>
        <w:pStyle w:val="8"/>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3.</w:t>
      </w:r>
      <w:r>
        <w:rPr>
          <w:rFonts w:hint="eastAsia" w:ascii="仿宋" w:hAnsi="仿宋" w:eastAsia="仿宋" w:cs="仿宋"/>
          <w:color w:val="auto"/>
          <w:kern w:val="0"/>
          <w:sz w:val="20"/>
          <w:szCs w:val="20"/>
        </w:rPr>
        <w:t>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354795AC">
      <w:pPr>
        <w:pStyle w:val="8"/>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4.</w:t>
      </w:r>
      <w:r>
        <w:rPr>
          <w:rFonts w:hint="eastAsia" w:ascii="仿宋" w:hAnsi="仿宋" w:eastAsia="仿宋" w:cs="仿宋"/>
          <w:color w:val="auto"/>
          <w:kern w:val="0"/>
          <w:sz w:val="20"/>
          <w:szCs w:val="20"/>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7FEB117F">
      <w:pPr>
        <w:pStyle w:val="8"/>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5.</w:t>
      </w:r>
      <w:r>
        <w:rPr>
          <w:rFonts w:hint="eastAsia" w:ascii="仿宋" w:hAnsi="仿宋" w:eastAsia="仿宋" w:cs="仿宋"/>
          <w:color w:val="auto"/>
          <w:kern w:val="0"/>
          <w:sz w:val="20"/>
          <w:szCs w:val="20"/>
        </w:rPr>
        <w:t>乙方在收到通知后虽答复，但没有弥补缺陷，甲方可采取必要的补救措施，但由此引发的风险和费用将由乙方承担。甲方根据合同规定对乙方行使的其他权力不受影响。</w:t>
      </w:r>
    </w:p>
    <w:p w14:paraId="6B654A58">
      <w:pPr>
        <w:pStyle w:val="8"/>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rPr>
      </w:pPr>
      <w:r>
        <w:rPr>
          <w:rFonts w:hint="eastAsia" w:ascii="仿宋" w:hAnsi="仿宋" w:eastAsia="仿宋" w:cs="仿宋"/>
          <w:color w:val="auto"/>
          <w:kern w:val="0"/>
          <w:sz w:val="20"/>
          <w:szCs w:val="20"/>
          <w:lang w:val="en-US" w:eastAsia="zh-CN"/>
        </w:rPr>
        <w:t>6.</w:t>
      </w:r>
      <w:r>
        <w:rPr>
          <w:rFonts w:hint="eastAsia" w:ascii="仿宋" w:hAnsi="仿宋" w:eastAsia="仿宋" w:cs="仿宋"/>
          <w:color w:val="auto"/>
          <w:kern w:val="0"/>
          <w:sz w:val="20"/>
          <w:szCs w:val="20"/>
          <w:lang w:eastAsia="zh-CN"/>
        </w:rPr>
        <w:t>设备质保期：供应商需提供一年设备质保服务。</w:t>
      </w:r>
    </w:p>
    <w:p w14:paraId="340B318B">
      <w:pPr>
        <w:pStyle w:val="12"/>
        <w:keepNext w:val="0"/>
        <w:keepLines w:val="0"/>
        <w:pageBreakBefore w:val="0"/>
        <w:kinsoku/>
        <w:wordWrap/>
        <w:overflowPunct/>
        <w:topLinePunct w:val="0"/>
        <w:autoSpaceDE/>
        <w:autoSpaceDN/>
        <w:bidi w:val="0"/>
        <w:snapToGrid w:val="0"/>
        <w:spacing w:line="360" w:lineRule="auto"/>
        <w:ind w:left="0" w:leftChars="0" w:firstLine="402" w:firstLineChars="200"/>
        <w:outlineLvl w:val="1"/>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第六条 权利保证</w:t>
      </w:r>
      <w:bookmarkEnd w:id="60"/>
      <w:bookmarkEnd w:id="61"/>
      <w:bookmarkEnd w:id="62"/>
    </w:p>
    <w:p w14:paraId="45A9B7CD">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1.乙方保证对其出售的货物享有合法的权利。</w:t>
      </w:r>
    </w:p>
    <w:p w14:paraId="6B8AABB5">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2.乙方保证对其出售的货物上不存在任何未曾向甲方透露的担保物权，如抵押权、质押权、留置权。</w:t>
      </w:r>
    </w:p>
    <w:p w14:paraId="0DF1792C">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3.乙方保证对其出售的货物或其任何一部分没有侵犯第三方的专利权、版权、商标权或其他权利。</w:t>
      </w:r>
    </w:p>
    <w:p w14:paraId="0E0D5A28">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b/>
          <w:color w:val="auto"/>
          <w:kern w:val="0"/>
          <w:sz w:val="20"/>
          <w:szCs w:val="20"/>
          <w:highlight w:val="none"/>
        </w:rPr>
      </w:pPr>
      <w:r>
        <w:rPr>
          <w:rFonts w:hint="eastAsia" w:ascii="仿宋" w:hAnsi="仿宋" w:eastAsia="仿宋" w:cs="仿宋"/>
          <w:color w:val="auto"/>
          <w:kern w:val="0"/>
          <w:sz w:val="20"/>
          <w:szCs w:val="20"/>
          <w:highlight w:val="none"/>
        </w:rPr>
        <w:t>4.如甲方在使用该货物构成上述侵权的，则由乙方承担全部责任。</w:t>
      </w:r>
    </w:p>
    <w:p w14:paraId="77931E1D">
      <w:pPr>
        <w:pStyle w:val="12"/>
        <w:keepNext w:val="0"/>
        <w:keepLines w:val="0"/>
        <w:pageBreakBefore w:val="0"/>
        <w:kinsoku/>
        <w:wordWrap/>
        <w:overflowPunct/>
        <w:topLinePunct w:val="0"/>
        <w:autoSpaceDE/>
        <w:autoSpaceDN/>
        <w:bidi w:val="0"/>
        <w:snapToGrid w:val="0"/>
        <w:spacing w:line="360" w:lineRule="auto"/>
        <w:ind w:left="0" w:leftChars="0" w:firstLine="402" w:firstLineChars="200"/>
        <w:outlineLvl w:val="1"/>
        <w:rPr>
          <w:rFonts w:hint="eastAsia" w:ascii="仿宋" w:hAnsi="仿宋" w:eastAsia="仿宋" w:cs="仿宋"/>
          <w:b/>
          <w:color w:val="auto"/>
          <w:kern w:val="0"/>
          <w:sz w:val="20"/>
          <w:szCs w:val="20"/>
          <w:highlight w:val="none"/>
          <w:lang w:val="en-US" w:eastAsia="zh-CN"/>
        </w:rPr>
      </w:pPr>
      <w:bookmarkStart w:id="63" w:name="_Toc18410"/>
      <w:bookmarkStart w:id="64" w:name="_Toc31505"/>
      <w:bookmarkStart w:id="65" w:name="_Toc31476"/>
      <w:r>
        <w:rPr>
          <w:rFonts w:hint="eastAsia" w:ascii="仿宋" w:hAnsi="仿宋" w:eastAsia="仿宋" w:cs="仿宋"/>
          <w:b/>
          <w:color w:val="auto"/>
          <w:kern w:val="0"/>
          <w:sz w:val="20"/>
          <w:szCs w:val="20"/>
          <w:highlight w:val="none"/>
        </w:rPr>
        <w:t>第</w:t>
      </w:r>
      <w:r>
        <w:rPr>
          <w:rFonts w:hint="eastAsia" w:ascii="仿宋" w:hAnsi="仿宋" w:eastAsia="仿宋" w:cs="仿宋"/>
          <w:b/>
          <w:color w:val="auto"/>
          <w:kern w:val="0"/>
          <w:sz w:val="20"/>
          <w:szCs w:val="20"/>
          <w:highlight w:val="none"/>
          <w:lang w:val="en-US" w:eastAsia="zh-CN"/>
        </w:rPr>
        <w:t>七</w:t>
      </w:r>
      <w:r>
        <w:rPr>
          <w:rFonts w:hint="eastAsia" w:ascii="仿宋" w:hAnsi="仿宋" w:eastAsia="仿宋" w:cs="仿宋"/>
          <w:b/>
          <w:color w:val="auto"/>
          <w:kern w:val="0"/>
          <w:sz w:val="20"/>
          <w:szCs w:val="20"/>
          <w:highlight w:val="none"/>
        </w:rPr>
        <w:t>条 售后服务</w:t>
      </w:r>
      <w:bookmarkEnd w:id="63"/>
      <w:bookmarkEnd w:id="64"/>
      <w:bookmarkEnd w:id="65"/>
      <w:r>
        <w:rPr>
          <w:rFonts w:hint="eastAsia" w:ascii="仿宋" w:hAnsi="仿宋" w:eastAsia="仿宋" w:cs="仿宋"/>
          <w:b/>
          <w:color w:val="auto"/>
          <w:kern w:val="0"/>
          <w:sz w:val="20"/>
          <w:szCs w:val="20"/>
          <w:highlight w:val="none"/>
          <w:lang w:val="en-US" w:eastAsia="zh-CN"/>
        </w:rPr>
        <w:t>及培训</w:t>
      </w:r>
    </w:p>
    <w:p w14:paraId="471EF6EF">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val="en-US" w:eastAsia="zh-CN"/>
        </w:rPr>
        <w:t>1.</w:t>
      </w:r>
      <w:r>
        <w:rPr>
          <w:rFonts w:hint="eastAsia" w:ascii="仿宋" w:hAnsi="仿宋" w:eastAsia="仿宋" w:cs="仿宋"/>
          <w:color w:val="auto"/>
          <w:kern w:val="0"/>
          <w:sz w:val="20"/>
          <w:szCs w:val="20"/>
          <w:highlight w:val="none"/>
        </w:rPr>
        <w:t>乙方应按照国家有关法律法规以及</w:t>
      </w:r>
      <w:r>
        <w:rPr>
          <w:rFonts w:hint="eastAsia" w:ascii="仿宋" w:hAnsi="仿宋" w:eastAsia="仿宋" w:cs="仿宋"/>
          <w:color w:val="auto"/>
          <w:kern w:val="0"/>
          <w:sz w:val="20"/>
          <w:szCs w:val="20"/>
          <w:highlight w:val="none"/>
          <w:lang w:eastAsia="zh-CN"/>
        </w:rPr>
        <w:t>磋商文件</w:t>
      </w:r>
      <w:r>
        <w:rPr>
          <w:rFonts w:hint="eastAsia" w:ascii="仿宋" w:hAnsi="仿宋" w:eastAsia="仿宋" w:cs="仿宋"/>
          <w:color w:val="auto"/>
          <w:kern w:val="0"/>
          <w:sz w:val="20"/>
          <w:szCs w:val="20"/>
          <w:highlight w:val="none"/>
        </w:rPr>
        <w:t>要求和</w:t>
      </w:r>
      <w:r>
        <w:rPr>
          <w:rFonts w:hint="eastAsia" w:ascii="仿宋" w:hAnsi="仿宋" w:eastAsia="仿宋" w:cs="仿宋"/>
          <w:color w:val="auto"/>
          <w:kern w:val="0"/>
          <w:sz w:val="20"/>
          <w:szCs w:val="20"/>
          <w:highlight w:val="none"/>
          <w:lang w:eastAsia="zh-CN"/>
        </w:rPr>
        <w:t>响应文件</w:t>
      </w:r>
      <w:r>
        <w:rPr>
          <w:rFonts w:hint="eastAsia" w:ascii="仿宋" w:hAnsi="仿宋" w:eastAsia="仿宋" w:cs="仿宋"/>
          <w:color w:val="auto"/>
          <w:kern w:val="0"/>
          <w:sz w:val="20"/>
          <w:szCs w:val="20"/>
          <w:highlight w:val="none"/>
        </w:rPr>
        <w:t>的</w:t>
      </w:r>
      <w:r>
        <w:rPr>
          <w:rFonts w:hint="eastAsia" w:ascii="仿宋" w:hAnsi="仿宋" w:eastAsia="仿宋" w:cs="仿宋"/>
          <w:color w:val="auto"/>
          <w:kern w:val="0"/>
          <w:sz w:val="20"/>
          <w:szCs w:val="20"/>
          <w:highlight w:val="none"/>
          <w:lang w:val="en-US" w:eastAsia="zh-CN"/>
        </w:rPr>
        <w:t>售后方案</w:t>
      </w:r>
      <w:r>
        <w:rPr>
          <w:rFonts w:hint="eastAsia" w:ascii="仿宋" w:hAnsi="仿宋" w:eastAsia="仿宋" w:cs="仿宋"/>
          <w:color w:val="auto"/>
          <w:kern w:val="0"/>
          <w:sz w:val="20"/>
          <w:szCs w:val="20"/>
          <w:highlight w:val="none"/>
        </w:rPr>
        <w:t>提供服务。</w:t>
      </w:r>
    </w:p>
    <w:p w14:paraId="7708BDE5">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val="en-US" w:eastAsia="zh-CN"/>
        </w:rPr>
        <w:t>2.</w:t>
      </w:r>
      <w:r>
        <w:rPr>
          <w:rFonts w:hint="eastAsia" w:ascii="仿宋" w:hAnsi="仿宋" w:eastAsia="仿宋" w:cs="仿宋"/>
          <w:color w:val="auto"/>
          <w:kern w:val="0"/>
          <w:sz w:val="20"/>
          <w:szCs w:val="20"/>
          <w:highlight w:val="none"/>
        </w:rPr>
        <w:t>乙方负责提供仪器设备相应的技术资料，包括产品合格证、产品保修单、安装使用及维护说明书以及运输装箱清单等,并对所有技术材料的真实性、准确性、先进性、完整性负责。</w:t>
      </w:r>
    </w:p>
    <w:p w14:paraId="5865D3FA">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val="en-US" w:eastAsia="zh-CN"/>
        </w:rPr>
        <w:t>3.</w:t>
      </w:r>
      <w:r>
        <w:rPr>
          <w:rFonts w:hint="eastAsia" w:ascii="仿宋" w:hAnsi="仿宋" w:eastAsia="仿宋" w:cs="仿宋"/>
          <w:color w:val="auto"/>
          <w:kern w:val="0"/>
          <w:sz w:val="20"/>
          <w:szCs w:val="20"/>
          <w:highlight w:val="none"/>
        </w:rPr>
        <w:t>售后服务：质保期内乙方对甲方提出的服务响应不得超出</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rPr>
        <w:t>小时。</w:t>
      </w:r>
    </w:p>
    <w:p w14:paraId="376B86DB">
      <w:pPr>
        <w:pStyle w:val="12"/>
        <w:keepNext w:val="0"/>
        <w:keepLines w:val="0"/>
        <w:pageBreakBefore w:val="0"/>
        <w:kinsoku/>
        <w:wordWrap/>
        <w:overflowPunct/>
        <w:topLinePunct w:val="0"/>
        <w:autoSpaceDE/>
        <w:autoSpaceDN/>
        <w:bidi w:val="0"/>
        <w:snapToGrid w:val="0"/>
        <w:spacing w:line="360" w:lineRule="auto"/>
        <w:ind w:left="0" w:leftChars="0" w:firstLine="402" w:firstLineChars="200"/>
        <w:outlineLvl w:val="1"/>
        <w:rPr>
          <w:rFonts w:hint="eastAsia" w:ascii="仿宋" w:hAnsi="仿宋" w:eastAsia="仿宋" w:cs="仿宋"/>
          <w:b/>
          <w:color w:val="auto"/>
          <w:kern w:val="0"/>
          <w:sz w:val="20"/>
          <w:szCs w:val="20"/>
          <w:highlight w:val="none"/>
        </w:rPr>
      </w:pPr>
      <w:bookmarkStart w:id="66" w:name="_Toc3711"/>
      <w:bookmarkStart w:id="67" w:name="_Toc3919"/>
      <w:bookmarkStart w:id="68" w:name="_Toc28698"/>
      <w:r>
        <w:rPr>
          <w:rFonts w:hint="eastAsia" w:ascii="仿宋" w:hAnsi="仿宋" w:eastAsia="仿宋" w:cs="仿宋"/>
          <w:b/>
          <w:color w:val="auto"/>
          <w:kern w:val="0"/>
          <w:sz w:val="20"/>
          <w:szCs w:val="20"/>
          <w:highlight w:val="none"/>
        </w:rPr>
        <w:t>第</w:t>
      </w:r>
      <w:r>
        <w:rPr>
          <w:rFonts w:hint="eastAsia" w:ascii="仿宋" w:hAnsi="仿宋" w:eastAsia="仿宋" w:cs="仿宋"/>
          <w:b/>
          <w:color w:val="auto"/>
          <w:kern w:val="0"/>
          <w:sz w:val="20"/>
          <w:szCs w:val="20"/>
          <w:highlight w:val="none"/>
          <w:lang w:val="en-US" w:eastAsia="zh-CN"/>
        </w:rPr>
        <w:t>八</w:t>
      </w:r>
      <w:r>
        <w:rPr>
          <w:rFonts w:hint="eastAsia" w:ascii="仿宋" w:hAnsi="仿宋" w:eastAsia="仿宋" w:cs="仿宋"/>
          <w:b/>
          <w:color w:val="auto"/>
          <w:kern w:val="0"/>
          <w:sz w:val="20"/>
          <w:szCs w:val="20"/>
          <w:highlight w:val="none"/>
        </w:rPr>
        <w:t>条 违约责任</w:t>
      </w:r>
      <w:bookmarkEnd w:id="66"/>
      <w:bookmarkEnd w:id="67"/>
      <w:bookmarkEnd w:id="68"/>
    </w:p>
    <w:p w14:paraId="64B90504">
      <w:pPr>
        <w:pStyle w:val="12"/>
        <w:keepNext w:val="0"/>
        <w:keepLines w:val="0"/>
        <w:pageBreakBefore w:val="0"/>
        <w:kinsoku/>
        <w:wordWrap/>
        <w:overflowPunct/>
        <w:topLinePunct w:val="0"/>
        <w:autoSpaceDE/>
        <w:autoSpaceDN/>
        <w:bidi w:val="0"/>
        <w:snapToGrid w:val="0"/>
        <w:spacing w:line="360" w:lineRule="auto"/>
        <w:ind w:left="0" w:leftChars="0" w:firstLine="400" w:firstLineChars="200"/>
        <w:outlineLvl w:val="9"/>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1.甲方违约责任</w:t>
      </w:r>
    </w:p>
    <w:p w14:paraId="2AEFBAAC">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（1）甲方无正当理由拒收货物的，甲方应偿付合同总价</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%的违约金；</w:t>
      </w:r>
    </w:p>
    <w:p w14:paraId="26CF81F9">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（2）甲方逾期支付货款的，除应及时付足货款外，应向乙方每天支付欠款总额</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lang w:val="en-US" w:eastAsia="zh-CN"/>
        </w:rPr>
        <w:t>%</w:t>
      </w:r>
      <w:r>
        <w:rPr>
          <w:rFonts w:hint="eastAsia" w:ascii="仿宋" w:hAnsi="仿宋" w:eastAsia="仿宋" w:cs="仿宋"/>
          <w:color w:val="auto"/>
          <w:kern w:val="0"/>
          <w:sz w:val="20"/>
          <w:szCs w:val="20"/>
          <w:highlight w:val="none"/>
        </w:rPr>
        <w:t>的滞纳金；但累计滞纳金总额不超过欠款总额的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p>
    <w:p w14:paraId="527F66F0">
      <w:pPr>
        <w:pStyle w:val="12"/>
        <w:keepNext w:val="0"/>
        <w:keepLines w:val="0"/>
        <w:pageBreakBefore w:val="0"/>
        <w:kinsoku/>
        <w:wordWrap/>
        <w:overflowPunct/>
        <w:topLinePunct w:val="0"/>
        <w:autoSpaceDE/>
        <w:autoSpaceDN/>
        <w:bidi w:val="0"/>
        <w:snapToGrid w:val="0"/>
        <w:spacing w:line="360" w:lineRule="auto"/>
        <w:ind w:left="0" w:leftChars="0" w:firstLine="400" w:firstLineChars="200"/>
        <w:outlineLvl w:val="9"/>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2.乙方违约责任</w:t>
      </w:r>
    </w:p>
    <w:p w14:paraId="1DA94E41">
      <w:pPr>
        <w:keepNext w:val="0"/>
        <w:keepLines w:val="0"/>
        <w:pageBreakBefore w:val="0"/>
        <w:widowControl/>
        <w:kinsoku/>
        <w:wordWrap/>
        <w:overflowPunct/>
        <w:topLinePunct w:val="0"/>
        <w:autoSpaceDE/>
        <w:autoSpaceDN/>
        <w:bidi w:val="0"/>
        <w:snapToGrid w:val="0"/>
        <w:spacing w:line="360" w:lineRule="auto"/>
        <w:ind w:left="0" w:leftChars="0" w:firstLine="400" w:firstLineChars="200"/>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（1）如乙方不能交付货物，同时乙方应向甲方支付合同总价</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％的违约金；</w:t>
      </w:r>
    </w:p>
    <w:p w14:paraId="2B5D73E1">
      <w:pPr>
        <w:keepNext w:val="0"/>
        <w:keepLines w:val="0"/>
        <w:pageBreakBefore w:val="0"/>
        <w:widowControl/>
        <w:kinsoku/>
        <w:wordWrap/>
        <w:overflowPunct/>
        <w:topLinePunct w:val="0"/>
        <w:autoSpaceDE/>
        <w:autoSpaceDN/>
        <w:bidi w:val="0"/>
        <w:snapToGrid w:val="0"/>
        <w:spacing w:line="360" w:lineRule="auto"/>
        <w:ind w:left="0" w:leftChars="0" w:firstLine="400" w:firstLineChars="200"/>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（2）乙方逾期交付货物的，每逾期1天，乙方向甲方偿付逾期交付部分货款总额的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none"/>
          <w:lang w:val="en-US" w:eastAsia="zh-CN"/>
        </w:rPr>
        <w:t>%</w:t>
      </w:r>
      <w:r>
        <w:rPr>
          <w:rFonts w:hint="eastAsia" w:ascii="仿宋" w:hAnsi="仿宋" w:eastAsia="仿宋" w:cs="仿宋"/>
          <w:color w:val="auto"/>
          <w:kern w:val="0"/>
          <w:sz w:val="20"/>
          <w:szCs w:val="20"/>
          <w:highlight w:val="none"/>
        </w:rPr>
        <w:t>的滞纳金。如乙方逾期交付达</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rPr>
        <w:t>天，甲方有权解除合同，解除合同的通知自到达乙方时生效，乙方应向甲方支付合同总价的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%违约金，违约金不足以弥补甲方损失的，由乙方另行支付；</w:t>
      </w:r>
    </w:p>
    <w:p w14:paraId="6239A101">
      <w:pPr>
        <w:keepNext w:val="0"/>
        <w:keepLines w:val="0"/>
        <w:pageBreakBefore w:val="0"/>
        <w:widowControl/>
        <w:kinsoku/>
        <w:wordWrap/>
        <w:overflowPunct/>
        <w:topLinePunct w:val="0"/>
        <w:autoSpaceDE/>
        <w:autoSpaceDN/>
        <w:bidi w:val="0"/>
        <w:snapToGrid w:val="0"/>
        <w:spacing w:line="360" w:lineRule="auto"/>
        <w:ind w:left="0" w:leftChars="0" w:firstLine="400" w:firstLineChars="200"/>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%的违约金，并按甲方要求予以免费更换；</w:t>
      </w:r>
    </w:p>
    <w:p w14:paraId="3E8A1D03">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%的违约金，违约金不足以弥补甲方损失的，由乙方另行支付；</w:t>
      </w:r>
    </w:p>
    <w:p w14:paraId="093331DF">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FFEBB65">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（6）乙方未按本合同的规定和</w:t>
      </w:r>
      <w:r>
        <w:rPr>
          <w:rFonts w:hint="eastAsia" w:ascii="仿宋" w:hAnsi="仿宋" w:eastAsia="仿宋" w:cs="仿宋"/>
          <w:color w:val="auto"/>
          <w:kern w:val="0"/>
          <w:sz w:val="20"/>
          <w:szCs w:val="20"/>
          <w:highlight w:val="none"/>
          <w:lang w:val="en-US" w:eastAsia="zh-CN"/>
        </w:rPr>
        <w:t>售后服务方案</w:t>
      </w:r>
      <w:r>
        <w:rPr>
          <w:rFonts w:hint="eastAsia" w:ascii="仿宋" w:hAnsi="仿宋" w:eastAsia="仿宋" w:cs="仿宋"/>
          <w:color w:val="auto"/>
          <w:kern w:val="0"/>
          <w:sz w:val="20"/>
          <w:szCs w:val="20"/>
          <w:highlight w:val="none"/>
        </w:rPr>
        <w:t>提供伴随服务/售后服务的，应按合同总价款的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%向甲方承担违约责任；</w:t>
      </w:r>
    </w:p>
    <w:p w14:paraId="0C2CC700">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14:paraId="558ECDB0">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（8）乙方偿付的违约金不足以弥补甲方损失的，还应按甲方损失尚未弥补的部分，支付赔偿金给甲方。</w:t>
      </w:r>
    </w:p>
    <w:p w14:paraId="7F9A36E1">
      <w:pPr>
        <w:keepNext w:val="0"/>
        <w:keepLines w:val="0"/>
        <w:pageBreakBefore w:val="0"/>
        <w:widowControl/>
        <w:kinsoku/>
        <w:wordWrap/>
        <w:overflowPunct/>
        <w:topLinePunct w:val="0"/>
        <w:autoSpaceDE/>
        <w:autoSpaceDN/>
        <w:bidi w:val="0"/>
        <w:snapToGrid w:val="0"/>
        <w:spacing w:line="360" w:lineRule="auto"/>
        <w:ind w:left="0" w:leftChars="0" w:firstLine="402" w:firstLineChars="200"/>
        <w:jc w:val="left"/>
        <w:outlineLvl w:val="1"/>
        <w:rPr>
          <w:rFonts w:hint="eastAsia" w:ascii="仿宋" w:hAnsi="仿宋" w:eastAsia="仿宋" w:cs="仿宋"/>
          <w:color w:val="auto"/>
          <w:kern w:val="0"/>
          <w:sz w:val="20"/>
          <w:szCs w:val="20"/>
          <w:highlight w:val="none"/>
        </w:rPr>
      </w:pPr>
      <w:bookmarkStart w:id="69" w:name="_Toc27557"/>
      <w:bookmarkStart w:id="70" w:name="_Toc13805"/>
      <w:bookmarkStart w:id="71" w:name="_Toc17126"/>
      <w:r>
        <w:rPr>
          <w:rFonts w:hint="eastAsia" w:ascii="仿宋" w:hAnsi="仿宋" w:eastAsia="仿宋" w:cs="仿宋"/>
          <w:b/>
          <w:color w:val="auto"/>
          <w:kern w:val="0"/>
          <w:sz w:val="20"/>
          <w:szCs w:val="20"/>
          <w:highlight w:val="none"/>
        </w:rPr>
        <w:t>第</w:t>
      </w:r>
      <w:r>
        <w:rPr>
          <w:rFonts w:hint="eastAsia" w:ascii="仿宋" w:hAnsi="仿宋" w:eastAsia="仿宋" w:cs="仿宋"/>
          <w:b/>
          <w:color w:val="auto"/>
          <w:kern w:val="0"/>
          <w:sz w:val="20"/>
          <w:szCs w:val="20"/>
          <w:highlight w:val="none"/>
          <w:lang w:val="en-US" w:eastAsia="zh-CN"/>
        </w:rPr>
        <w:t>九</w:t>
      </w:r>
      <w:r>
        <w:rPr>
          <w:rFonts w:hint="eastAsia" w:ascii="仿宋" w:hAnsi="仿宋" w:eastAsia="仿宋" w:cs="仿宋"/>
          <w:b/>
          <w:color w:val="auto"/>
          <w:kern w:val="0"/>
          <w:sz w:val="20"/>
          <w:szCs w:val="20"/>
          <w:highlight w:val="none"/>
        </w:rPr>
        <w:t>条 合同的变更和终止</w:t>
      </w:r>
      <w:bookmarkEnd w:id="69"/>
      <w:bookmarkEnd w:id="70"/>
      <w:bookmarkEnd w:id="71"/>
    </w:p>
    <w:p w14:paraId="50FF36FA">
      <w:pPr>
        <w:keepNext w:val="0"/>
        <w:keepLines w:val="0"/>
        <w:pageBreakBefore w:val="0"/>
        <w:widowControl/>
        <w:kinsoku/>
        <w:wordWrap/>
        <w:overflowPunct/>
        <w:topLinePunct w:val="0"/>
        <w:autoSpaceDE/>
        <w:autoSpaceDN/>
        <w:bidi w:val="0"/>
        <w:snapToGrid w:val="0"/>
        <w:spacing w:line="360" w:lineRule="auto"/>
        <w:ind w:left="0" w:leftChars="0" w:firstLine="400" w:firstLineChars="200"/>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除《中华人民共和国政府采购法》第49条、第50条第二款规定的情形外，本合同一经签订，甲乙双方不得擅自变更、中止或终止合同。</w:t>
      </w:r>
    </w:p>
    <w:p w14:paraId="61B90D49">
      <w:pPr>
        <w:keepNext w:val="0"/>
        <w:keepLines w:val="0"/>
        <w:pageBreakBefore w:val="0"/>
        <w:widowControl/>
        <w:kinsoku/>
        <w:wordWrap/>
        <w:overflowPunct/>
        <w:topLinePunct w:val="0"/>
        <w:autoSpaceDE/>
        <w:autoSpaceDN/>
        <w:bidi w:val="0"/>
        <w:snapToGrid w:val="0"/>
        <w:spacing w:line="360" w:lineRule="auto"/>
        <w:ind w:left="0" w:leftChars="0" w:firstLine="402" w:firstLineChars="200"/>
        <w:jc w:val="left"/>
        <w:outlineLvl w:val="1"/>
        <w:rPr>
          <w:rFonts w:hint="eastAsia" w:ascii="仿宋" w:hAnsi="仿宋" w:eastAsia="仿宋" w:cs="仿宋"/>
          <w:b/>
          <w:color w:val="auto"/>
          <w:kern w:val="0"/>
          <w:sz w:val="20"/>
          <w:szCs w:val="20"/>
          <w:highlight w:val="none"/>
        </w:rPr>
      </w:pPr>
      <w:bookmarkStart w:id="72" w:name="_Toc13338"/>
      <w:bookmarkStart w:id="73" w:name="_Toc29986"/>
      <w:bookmarkStart w:id="74" w:name="_Toc16869"/>
      <w:r>
        <w:rPr>
          <w:rFonts w:hint="eastAsia" w:ascii="仿宋" w:hAnsi="仿宋" w:eastAsia="仿宋" w:cs="仿宋"/>
          <w:b/>
          <w:color w:val="auto"/>
          <w:kern w:val="0"/>
          <w:sz w:val="20"/>
          <w:szCs w:val="20"/>
          <w:highlight w:val="none"/>
        </w:rPr>
        <w:t>第十条 争议的解决</w:t>
      </w:r>
      <w:bookmarkEnd w:id="72"/>
      <w:bookmarkEnd w:id="73"/>
      <w:bookmarkEnd w:id="74"/>
    </w:p>
    <w:p w14:paraId="61840873">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1.因货物的质量问题发生争议，由质量技术监督部门或其指定的质量鉴定机构进行质量鉴定。货物符合标准的，鉴定费由甲方承担；货物不符合质量标准的，鉴定费由乙方承担。</w:t>
      </w:r>
    </w:p>
    <w:p w14:paraId="6F18CB11">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rPr>
        <w:t>种方式解决争议：</w:t>
      </w:r>
    </w:p>
    <w:p w14:paraId="2DBE3D5A">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（1）向甲方所在地有管辖权的人民法院提起诉讼；</w:t>
      </w:r>
    </w:p>
    <w:p w14:paraId="119ECC37">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（2）向</w:t>
      </w:r>
      <w:r>
        <w:rPr>
          <w:rFonts w:hint="eastAsia" w:ascii="仿宋" w:hAnsi="仿宋" w:eastAsia="仿宋" w:cs="仿宋"/>
          <w:color w:val="auto"/>
          <w:kern w:val="0"/>
          <w:sz w:val="20"/>
          <w:szCs w:val="20"/>
          <w:highlight w:val="none"/>
          <w:u w:val="single"/>
          <w:lang w:val="en-US" w:eastAsia="zh-CN"/>
        </w:rPr>
        <w:t xml:space="preserve">     </w:t>
      </w:r>
      <w:r>
        <w:rPr>
          <w:rFonts w:hint="eastAsia" w:ascii="仿宋" w:hAnsi="仿宋" w:eastAsia="仿宋" w:cs="仿宋"/>
          <w:color w:val="auto"/>
          <w:kern w:val="0"/>
          <w:sz w:val="20"/>
          <w:szCs w:val="20"/>
          <w:highlight w:val="none"/>
        </w:rPr>
        <w:t>仲裁委员会按其仲裁规则申请仲裁</w:t>
      </w:r>
      <w:r>
        <w:rPr>
          <w:rFonts w:hint="eastAsia" w:ascii="仿宋" w:hAnsi="仿宋" w:eastAsia="仿宋" w:cs="仿宋"/>
          <w:color w:val="auto"/>
          <w:kern w:val="0"/>
          <w:sz w:val="20"/>
          <w:szCs w:val="20"/>
          <w:highlight w:val="none"/>
          <w:lang w:eastAsia="zh-CN"/>
        </w:rPr>
        <w:t>；</w:t>
      </w:r>
    </w:p>
    <w:p w14:paraId="4472E4F7">
      <w:pPr>
        <w:pStyle w:val="12"/>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3.在诉讼期间，本合同应继续履行。</w:t>
      </w:r>
    </w:p>
    <w:p w14:paraId="0EE573FD">
      <w:pPr>
        <w:keepNext w:val="0"/>
        <w:keepLines w:val="0"/>
        <w:pageBreakBefore w:val="0"/>
        <w:kinsoku/>
        <w:wordWrap/>
        <w:overflowPunct/>
        <w:topLinePunct w:val="0"/>
        <w:autoSpaceDE/>
        <w:autoSpaceDN/>
        <w:bidi w:val="0"/>
        <w:snapToGrid w:val="0"/>
        <w:spacing w:line="360" w:lineRule="auto"/>
        <w:ind w:left="0" w:leftChars="0" w:firstLine="402" w:firstLineChars="200"/>
        <w:textAlignment w:val="baseline"/>
        <w:outlineLvl w:val="1"/>
        <w:rPr>
          <w:rFonts w:hint="eastAsia" w:ascii="仿宋" w:hAnsi="仿宋" w:eastAsia="仿宋" w:cs="仿宋"/>
          <w:b/>
          <w:color w:val="auto"/>
          <w:kern w:val="0"/>
          <w:sz w:val="20"/>
          <w:szCs w:val="20"/>
          <w:highlight w:val="none"/>
        </w:rPr>
      </w:pPr>
      <w:bookmarkStart w:id="75" w:name="_Toc6911"/>
      <w:bookmarkStart w:id="76" w:name="_Toc26051"/>
      <w:bookmarkStart w:id="77" w:name="_Toc24039"/>
      <w:r>
        <w:rPr>
          <w:rFonts w:hint="eastAsia" w:ascii="仿宋" w:hAnsi="仿宋" w:eastAsia="仿宋" w:cs="仿宋"/>
          <w:b/>
          <w:color w:val="auto"/>
          <w:kern w:val="0"/>
          <w:sz w:val="20"/>
          <w:szCs w:val="20"/>
          <w:highlight w:val="none"/>
        </w:rPr>
        <w:t>第十</w:t>
      </w:r>
      <w:r>
        <w:rPr>
          <w:rFonts w:hint="eastAsia" w:ascii="仿宋" w:hAnsi="仿宋" w:eastAsia="仿宋" w:cs="仿宋"/>
          <w:b/>
          <w:color w:val="auto"/>
          <w:kern w:val="0"/>
          <w:sz w:val="20"/>
          <w:szCs w:val="20"/>
          <w:highlight w:val="none"/>
          <w:lang w:val="en-US" w:eastAsia="zh-CN"/>
        </w:rPr>
        <w:t>一条</w:t>
      </w:r>
      <w:r>
        <w:rPr>
          <w:rFonts w:hint="eastAsia" w:ascii="仿宋" w:hAnsi="仿宋" w:eastAsia="仿宋" w:cs="仿宋"/>
          <w:color w:val="auto"/>
          <w:kern w:val="0"/>
          <w:sz w:val="20"/>
          <w:szCs w:val="20"/>
          <w:highlight w:val="none"/>
        </w:rPr>
        <w:t xml:space="preserve"> </w:t>
      </w:r>
      <w:r>
        <w:rPr>
          <w:rFonts w:hint="eastAsia" w:ascii="仿宋" w:hAnsi="仿宋" w:eastAsia="仿宋" w:cs="仿宋"/>
          <w:b/>
          <w:color w:val="auto"/>
          <w:kern w:val="0"/>
          <w:sz w:val="20"/>
          <w:szCs w:val="20"/>
          <w:highlight w:val="none"/>
        </w:rPr>
        <w:t>合同文件</w:t>
      </w:r>
      <w:bookmarkEnd w:id="75"/>
      <w:bookmarkEnd w:id="76"/>
      <w:bookmarkEnd w:id="77"/>
    </w:p>
    <w:p w14:paraId="60DD3647">
      <w:pPr>
        <w:keepNext w:val="0"/>
        <w:keepLines w:val="0"/>
        <w:pageBreakBefore w:val="0"/>
        <w:kinsoku/>
        <w:wordWrap/>
        <w:overflowPunct/>
        <w:topLinePunct w:val="0"/>
        <w:autoSpaceDE/>
        <w:autoSpaceDN/>
        <w:bidi w:val="0"/>
        <w:snapToGrid w:val="0"/>
        <w:spacing w:line="360" w:lineRule="auto"/>
        <w:ind w:left="0" w:leftChars="0" w:firstLine="400" w:firstLineChars="200"/>
        <w:textAlignment w:val="baseline"/>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0016D92D">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1.本合同书</w:t>
      </w:r>
    </w:p>
    <w:p w14:paraId="70F1C8AB">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w:t>
      </w:r>
      <w:r>
        <w:rPr>
          <w:rFonts w:hint="eastAsia" w:ascii="仿宋" w:hAnsi="仿宋" w:eastAsia="仿宋" w:cs="仿宋"/>
          <w:color w:val="auto"/>
          <w:kern w:val="0"/>
          <w:sz w:val="20"/>
          <w:szCs w:val="20"/>
          <w:highlight w:val="none"/>
          <w:lang w:eastAsia="zh-CN"/>
        </w:rPr>
        <w:t>成交</w:t>
      </w:r>
      <w:r>
        <w:rPr>
          <w:rFonts w:hint="eastAsia" w:ascii="仿宋" w:hAnsi="仿宋" w:eastAsia="仿宋" w:cs="仿宋"/>
          <w:color w:val="auto"/>
          <w:kern w:val="0"/>
          <w:sz w:val="20"/>
          <w:szCs w:val="20"/>
          <w:highlight w:val="none"/>
        </w:rPr>
        <w:t>通知书</w:t>
      </w:r>
      <w:r>
        <w:rPr>
          <w:rFonts w:hint="eastAsia" w:ascii="仿宋" w:hAnsi="仿宋" w:eastAsia="仿宋" w:cs="仿宋"/>
          <w:color w:val="auto"/>
          <w:kern w:val="0"/>
          <w:sz w:val="20"/>
          <w:szCs w:val="20"/>
          <w:highlight w:val="none"/>
        </w:rPr>
        <w:tab/>
      </w:r>
    </w:p>
    <w:p w14:paraId="3B2794E0">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3.协议</w:t>
      </w:r>
    </w:p>
    <w:p w14:paraId="2AC007A1">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4.</w:t>
      </w:r>
      <w:r>
        <w:rPr>
          <w:rFonts w:hint="eastAsia" w:ascii="仿宋" w:hAnsi="仿宋" w:eastAsia="仿宋" w:cs="仿宋"/>
          <w:color w:val="auto"/>
          <w:kern w:val="0"/>
          <w:sz w:val="20"/>
          <w:szCs w:val="20"/>
          <w:highlight w:val="none"/>
          <w:lang w:eastAsia="zh-CN"/>
        </w:rPr>
        <w:t>磋商文件</w:t>
      </w:r>
      <w:r>
        <w:rPr>
          <w:rFonts w:hint="eastAsia" w:ascii="仿宋" w:hAnsi="仿宋" w:eastAsia="仿宋" w:cs="仿宋"/>
          <w:color w:val="auto"/>
          <w:kern w:val="0"/>
          <w:sz w:val="20"/>
          <w:szCs w:val="20"/>
          <w:highlight w:val="none"/>
        </w:rPr>
        <w:t>(含澄清或者修改文件)</w:t>
      </w:r>
    </w:p>
    <w:p w14:paraId="4D967B76">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5.</w:t>
      </w:r>
      <w:r>
        <w:rPr>
          <w:rFonts w:hint="eastAsia" w:ascii="仿宋" w:hAnsi="仿宋" w:eastAsia="仿宋" w:cs="仿宋"/>
          <w:color w:val="auto"/>
          <w:kern w:val="0"/>
          <w:sz w:val="20"/>
          <w:szCs w:val="20"/>
          <w:highlight w:val="none"/>
          <w:lang w:eastAsia="zh-CN"/>
        </w:rPr>
        <w:t>响应文件</w:t>
      </w:r>
    </w:p>
    <w:p w14:paraId="77416797">
      <w:pPr>
        <w:keepNext w:val="0"/>
        <w:keepLines w:val="0"/>
        <w:pageBreakBefore w:val="0"/>
        <w:kinsoku/>
        <w:wordWrap/>
        <w:overflowPunct/>
        <w:topLinePunct w:val="0"/>
        <w:autoSpaceDE/>
        <w:autoSpaceDN/>
        <w:bidi w:val="0"/>
        <w:snapToGrid w:val="0"/>
        <w:spacing w:line="360" w:lineRule="auto"/>
        <w:ind w:left="0" w:leftChars="0" w:firstLine="402" w:firstLineChars="200"/>
        <w:outlineLvl w:val="1"/>
        <w:rPr>
          <w:rFonts w:hint="eastAsia" w:ascii="仿宋" w:hAnsi="仿宋" w:eastAsia="仿宋" w:cs="仿宋"/>
          <w:b/>
          <w:color w:val="auto"/>
          <w:kern w:val="0"/>
          <w:sz w:val="20"/>
          <w:szCs w:val="20"/>
          <w:highlight w:val="none"/>
        </w:rPr>
      </w:pPr>
      <w:bookmarkStart w:id="78" w:name="_Toc13842"/>
      <w:bookmarkStart w:id="79" w:name="_Toc32342"/>
      <w:bookmarkStart w:id="80" w:name="_Toc1382"/>
      <w:r>
        <w:rPr>
          <w:rFonts w:hint="eastAsia" w:ascii="仿宋" w:hAnsi="仿宋" w:eastAsia="仿宋" w:cs="仿宋"/>
          <w:b/>
          <w:color w:val="auto"/>
          <w:kern w:val="0"/>
          <w:sz w:val="20"/>
          <w:szCs w:val="20"/>
          <w:highlight w:val="none"/>
        </w:rPr>
        <w:t>第十</w:t>
      </w:r>
      <w:r>
        <w:rPr>
          <w:rFonts w:hint="eastAsia" w:ascii="仿宋" w:hAnsi="仿宋" w:eastAsia="仿宋" w:cs="仿宋"/>
          <w:b/>
          <w:color w:val="auto"/>
          <w:kern w:val="0"/>
          <w:sz w:val="20"/>
          <w:szCs w:val="20"/>
          <w:highlight w:val="none"/>
          <w:lang w:val="en-US" w:eastAsia="zh-CN"/>
        </w:rPr>
        <w:t>二</w:t>
      </w:r>
      <w:r>
        <w:rPr>
          <w:rFonts w:hint="eastAsia" w:ascii="仿宋" w:hAnsi="仿宋" w:eastAsia="仿宋" w:cs="仿宋"/>
          <w:b/>
          <w:color w:val="auto"/>
          <w:kern w:val="0"/>
          <w:sz w:val="20"/>
          <w:szCs w:val="20"/>
          <w:highlight w:val="none"/>
        </w:rPr>
        <w:t>条 合同生效及其他</w:t>
      </w:r>
      <w:bookmarkEnd w:id="78"/>
      <w:bookmarkEnd w:id="79"/>
      <w:bookmarkEnd w:id="80"/>
    </w:p>
    <w:p w14:paraId="1FFF90DC">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1.如有未尽事宜，由双方依法订立补充合同，补充合同与本合同效力一致。</w:t>
      </w:r>
    </w:p>
    <w:p w14:paraId="1BB191C5">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2.本合同自双方签字、盖章之日起生效。</w:t>
      </w:r>
    </w:p>
    <w:p w14:paraId="0FF5A71D">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3.本合同一式___份，具有同等法律效力，甲乙双方各执____份。</w:t>
      </w:r>
    </w:p>
    <w:p w14:paraId="507CD399">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4.合同附件：技术协议、磋商文件、响应文件、成交通知书</w:t>
      </w:r>
    </w:p>
    <w:p w14:paraId="2A6BFC7C">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p>
    <w:p w14:paraId="1998F20C">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甲方：   （盖章）   </w:t>
      </w:r>
      <w:r>
        <w:rPr>
          <w:rFonts w:hint="eastAsia" w:ascii="仿宋" w:hAnsi="仿宋" w:eastAsia="仿宋" w:cs="仿宋"/>
          <w:color w:val="auto"/>
          <w:kern w:val="0"/>
          <w:sz w:val="20"/>
          <w:szCs w:val="20"/>
          <w:highlight w:val="none"/>
        </w:rPr>
        <w:tab/>
      </w:r>
      <w:r>
        <w:rPr>
          <w:rFonts w:hint="eastAsia" w:ascii="仿宋" w:hAnsi="仿宋" w:eastAsia="仿宋" w:cs="仿宋"/>
          <w:color w:val="auto"/>
          <w:kern w:val="0"/>
          <w:sz w:val="20"/>
          <w:szCs w:val="20"/>
          <w:highlight w:val="none"/>
        </w:rPr>
        <w:tab/>
      </w:r>
      <w:r>
        <w:rPr>
          <w:rFonts w:hint="eastAsia" w:ascii="仿宋" w:hAnsi="仿宋" w:eastAsia="仿宋" w:cs="仿宋"/>
          <w:color w:val="auto"/>
          <w:kern w:val="0"/>
          <w:sz w:val="20"/>
          <w:szCs w:val="20"/>
          <w:highlight w:val="none"/>
        </w:rPr>
        <w:tab/>
      </w:r>
      <w:r>
        <w:rPr>
          <w:rFonts w:hint="eastAsia" w:ascii="仿宋" w:hAnsi="仿宋" w:eastAsia="仿宋" w:cs="仿宋"/>
          <w:color w:val="auto"/>
          <w:kern w:val="0"/>
          <w:sz w:val="20"/>
          <w:szCs w:val="20"/>
          <w:highlight w:val="none"/>
        </w:rPr>
        <w:t xml:space="preserve">       乙方：   （盖章）</w:t>
      </w:r>
    </w:p>
    <w:p w14:paraId="1496A9F8">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法定代表人/委托代理人：            法定代表人/委托代理人：</w:t>
      </w:r>
    </w:p>
    <w:p w14:paraId="089386C2">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地    址：                         地    址：</w:t>
      </w:r>
    </w:p>
    <w:p w14:paraId="2F716B98">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                         开户银行：</w:t>
      </w:r>
    </w:p>
    <w:p w14:paraId="7E2E062D">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账    号：                         账    号：</w:t>
      </w:r>
    </w:p>
    <w:p w14:paraId="6D3941A9">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                         电    话：</w:t>
      </w:r>
    </w:p>
    <w:p w14:paraId="28DDFB40">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传    真：                         传    真：</w:t>
      </w:r>
    </w:p>
    <w:p w14:paraId="754A5DBC">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签约日期：    年  月  日           签约日期：    年  月  日</w:t>
      </w:r>
    </w:p>
    <w:p w14:paraId="16FAACB5">
      <w:pPr>
        <w:keepNext w:val="0"/>
        <w:keepLines w:val="0"/>
        <w:pageBreakBefore w:val="0"/>
        <w:kinsoku/>
        <w:wordWrap/>
        <w:overflowPunct/>
        <w:topLinePunct w:val="0"/>
        <w:autoSpaceDE/>
        <w:autoSpaceDN/>
        <w:bidi w:val="0"/>
        <w:snapToGrid w:val="0"/>
        <w:spacing w:line="360" w:lineRule="auto"/>
        <w:ind w:left="0" w:leftChars="0" w:firstLine="400" w:firstLineChars="200"/>
        <w:rPr>
          <w:rFonts w:hint="eastAsia" w:ascii="仿宋" w:hAnsi="仿宋" w:eastAsia="仿宋" w:cs="仿宋"/>
          <w:color w:val="auto"/>
          <w:kern w:val="0"/>
          <w:sz w:val="20"/>
          <w:szCs w:val="20"/>
        </w:rPr>
      </w:pPr>
    </w:p>
    <w:p w14:paraId="178A6227">
      <w:pPr>
        <w:pStyle w:val="14"/>
        <w:rPr>
          <w:rFonts w:hint="eastAsia"/>
          <w:color w:val="auto"/>
          <w:lang w:val="en-US" w:eastAsia="zh-Hans"/>
        </w:rPr>
      </w:pPr>
    </w:p>
    <w:p w14:paraId="44731986">
      <w:pPr>
        <w:rPr>
          <w:rFonts w:hint="eastAsia"/>
          <w:color w:val="auto"/>
        </w:rPr>
      </w:pPr>
    </w:p>
    <w:bookmarkEnd w:id="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82B7CCD4-4088-44FD-96AD-852FB00AB40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2" w:fontKey="{ABE9B324-36D9-489C-A8C4-20933B3A581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FC741"/>
    <w:multiLevelType w:val="singleLevel"/>
    <w:tmpl w:val="028FC741"/>
    <w:lvl w:ilvl="0" w:tentative="0">
      <w:start w:val="4"/>
      <w:numFmt w:val="chineseCounting"/>
      <w:suff w:val="space"/>
      <w:lvlText w:val="第%1条"/>
      <w:lvlJc w:val="left"/>
      <w:rPr>
        <w:rFonts w:hint="eastAsia"/>
      </w:rPr>
    </w:lvl>
  </w:abstractNum>
  <w:abstractNum w:abstractNumId="1">
    <w:nsid w:val="23484E31"/>
    <w:multiLevelType w:val="singleLevel"/>
    <w:tmpl w:val="23484E31"/>
    <w:lvl w:ilvl="0" w:tentative="0">
      <w:start w:val="5"/>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kNGNkNzZmNjFkNDVjYTM1OWYxMDMwY2Y5YzA0MGMifQ=="/>
  </w:docVars>
  <w:rsids>
    <w:rsidRoot w:val="38E42B80"/>
    <w:rsid w:val="020E02AA"/>
    <w:rsid w:val="07E51AAD"/>
    <w:rsid w:val="09B01196"/>
    <w:rsid w:val="0B1A04DC"/>
    <w:rsid w:val="0C0544CC"/>
    <w:rsid w:val="10EE23D4"/>
    <w:rsid w:val="123F625E"/>
    <w:rsid w:val="17E72CD8"/>
    <w:rsid w:val="180B4E43"/>
    <w:rsid w:val="1D3C6D55"/>
    <w:rsid w:val="1EFA59E6"/>
    <w:rsid w:val="263C4B36"/>
    <w:rsid w:val="264913D7"/>
    <w:rsid w:val="26804A23"/>
    <w:rsid w:val="2A7C59B7"/>
    <w:rsid w:val="321150C9"/>
    <w:rsid w:val="33613CE8"/>
    <w:rsid w:val="33E4755F"/>
    <w:rsid w:val="354F3848"/>
    <w:rsid w:val="36D6068F"/>
    <w:rsid w:val="38E42B80"/>
    <w:rsid w:val="397078B6"/>
    <w:rsid w:val="3D0A09CF"/>
    <w:rsid w:val="43045B6C"/>
    <w:rsid w:val="49C367F4"/>
    <w:rsid w:val="4FB97F09"/>
    <w:rsid w:val="532C5467"/>
    <w:rsid w:val="55264006"/>
    <w:rsid w:val="56881917"/>
    <w:rsid w:val="56B31FEC"/>
    <w:rsid w:val="59F42A57"/>
    <w:rsid w:val="5CE31541"/>
    <w:rsid w:val="602D3AA2"/>
    <w:rsid w:val="643B2AF7"/>
    <w:rsid w:val="68843A89"/>
    <w:rsid w:val="6BF95CAB"/>
    <w:rsid w:val="6C44161C"/>
    <w:rsid w:val="6D6535F8"/>
    <w:rsid w:val="70427DDE"/>
    <w:rsid w:val="70695446"/>
    <w:rsid w:val="73920EBF"/>
    <w:rsid w:val="759A04FF"/>
    <w:rsid w:val="7A6723E9"/>
    <w:rsid w:val="7A6C1FF8"/>
    <w:rsid w:val="7ED86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4">
    <w:name w:val="heading 1"/>
    <w:basedOn w:val="1"/>
    <w:next w:val="1"/>
    <w:autoRedefine/>
    <w:qFormat/>
    <w:uiPriority w:val="0"/>
    <w:pPr>
      <w:jc w:val="center"/>
      <w:outlineLvl w:val="0"/>
    </w:pPr>
    <w:rPr>
      <w:rFonts w:ascii="宋体" w:hAnsi="宋体"/>
      <w:b/>
      <w:sz w:val="36"/>
    </w:rPr>
  </w:style>
  <w:style w:type="paragraph" w:styleId="5">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rPr>
      <w:b/>
      <w:color w:val="000000"/>
      <w:kern w:val="0"/>
      <w:sz w:val="24"/>
      <w:szCs w:val="24"/>
    </w:rPr>
  </w:style>
  <w:style w:type="paragraph" w:styleId="3">
    <w:name w:val="envelope return"/>
    <w:basedOn w:val="1"/>
    <w:autoRedefine/>
    <w:qFormat/>
    <w:uiPriority w:val="0"/>
    <w:pPr>
      <w:snapToGrid w:val="0"/>
    </w:pPr>
    <w:rPr>
      <w:rFonts w:ascii="Arial" w:hAnsi="Arial"/>
    </w:rPr>
  </w:style>
  <w:style w:type="paragraph" w:styleId="6">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7">
    <w:name w:val="Body Text"/>
    <w:basedOn w:val="1"/>
    <w:next w:val="1"/>
    <w:autoRedefine/>
    <w:qFormat/>
    <w:uiPriority w:val="0"/>
    <w:pPr>
      <w:spacing w:after="120"/>
    </w:pPr>
    <w:rPr>
      <w:rFonts w:ascii="Times New Roman" w:hAnsi="Times New Roman"/>
    </w:rPr>
  </w:style>
  <w:style w:type="paragraph" w:styleId="8">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3">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2895</Words>
  <Characters>2962</Characters>
  <Lines>0</Lines>
  <Paragraphs>0</Paragraphs>
  <TotalTime>0</TotalTime>
  <ScaleCrop>false</ScaleCrop>
  <LinksUpToDate>false</LinksUpToDate>
  <CharactersWithSpaces>3353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WPS_1633180969</cp:lastModifiedBy>
  <dcterms:modified xsi:type="dcterms:W3CDTF">2025-05-28T07:36:25Z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0A2518DC8C7D4B08B274E8603306FB1D_13</vt:lpwstr>
  </property>
  <property fmtid="{D5CDD505-2E9C-101B-9397-08002B2CF9AE}" pid="4" name="KSOTemplateDocerSaveRecord">
    <vt:lpwstr>eyJoZGlkIjoiY2M1NWZjOTI0MzZlNzdjZTNiMGIwOWFhODBmMDVjOTciLCJ1c2VySWQiOiIxMjgwNjI5MzYxIn0=</vt:lpwstr>
  </property>
</Properties>
</file>