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版本号：ZY2025-ZB-CS104520250528001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信息化项目全过程咨询服务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ZY2025-ZB-CS1045</w:t>
      </w:r>
      <w:r>
        <w:br/>
      </w:r>
      <w:r>
        <w:br/>
      </w:r>
      <w:r>
        <w:br/>
      </w:r>
    </w:p>
    <w:p>
      <w:pPr>
        <w:pStyle w:val="null3"/>
        <w:jc w:val="center"/>
        <w:outlineLvl w:val="2"/>
      </w:pPr>
      <w:r>
        <w:rPr>
          <w:rFonts w:ascii="仿宋_GB2312" w:hAnsi="仿宋_GB2312" w:cs="仿宋_GB2312" w:eastAsia="仿宋_GB2312"/>
          <w:sz w:val="28"/>
          <w:b/>
        </w:rPr>
        <w:t>西安市公安局交通管理支队</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w:t>
      </w:r>
      <w:r>
        <w:rPr>
          <w:rFonts w:ascii="仿宋_GB2312" w:hAnsi="仿宋_GB2312" w:cs="仿宋_GB2312" w:eastAsia="仿宋_GB2312"/>
        </w:rPr>
        <w:t>委托，拟对</w:t>
      </w:r>
      <w:r>
        <w:rPr>
          <w:rFonts w:ascii="仿宋_GB2312" w:hAnsi="仿宋_GB2312" w:cs="仿宋_GB2312" w:eastAsia="仿宋_GB2312"/>
        </w:rPr>
        <w:t>信息化项目全过程咨询服务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信息化项目全过程咨询服务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信息化项目全过程咨询服务，1项，采购预算：968176.00元。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采购包1（信息化项目全过程咨询服务）：属于专门面向中小企业采购。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3、税收缴纳证明：提供2024年6月至今已缴纳的至少一个月的纳税证明，依法免税的单位应提供相关证明材料；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5、参加政府采购活动前三年内，在经营活动中没有重大违法记录：参加政府采购活动前三年内，在经营活动中没有重大违法记录的声明；</w:t>
      </w:r>
    </w:p>
    <w:p>
      <w:pPr>
        <w:pStyle w:val="null3"/>
      </w:pPr>
      <w:r>
        <w:rPr>
          <w:rFonts w:ascii="仿宋_GB2312" w:hAnsi="仿宋_GB2312" w:cs="仿宋_GB2312" w:eastAsia="仿宋_GB2312"/>
        </w:rPr>
        <w:t>6、具备履行合同所必须的设备和专业技术能力：具备履行合同所必须的设备和专业技术能力的书面声明；</w:t>
      </w:r>
    </w:p>
    <w:p>
      <w:pPr>
        <w:pStyle w:val="null3"/>
      </w:pPr>
      <w:r>
        <w:rPr>
          <w:rFonts w:ascii="仿宋_GB2312" w:hAnsi="仿宋_GB2312" w:cs="仿宋_GB2312" w:eastAsia="仿宋_GB2312"/>
        </w:rPr>
        <w:t>7、信用查询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8、法定代表人授权书：法定代表人授权委托书、被授权人身份证（法定代表人参加投标时,只需提供法定代表人身份证）；</w:t>
      </w:r>
    </w:p>
    <w:p>
      <w:pPr>
        <w:pStyle w:val="null3"/>
      </w:pPr>
      <w:r>
        <w:rPr>
          <w:rFonts w:ascii="仿宋_GB2312" w:hAnsi="仿宋_GB2312" w:cs="仿宋_GB2312" w:eastAsia="仿宋_GB2312"/>
        </w:rPr>
        <w:t>9、供应商须为中小微企业或监狱企业或残疾人福利性单位：中小企业声明函（工程、服务）或残疾人福利性单位声明函或监狱企业证明文件。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西安市公安局交通管理支队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太白南路222号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029-86755288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采购包1：968,176.00元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代理服务费收费标准：依据《招标代理服务收费管理暂行办法》（计价格[2002]1980号）和《关于招标代理服务收费有关问题的通知》（发改办价格[2003]857号）文件规定下浮10%执行。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西安市公安局交通管理支队</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西安市公安局交通管理支队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西安市公安局交通管理支队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符合采购人及磋商文件要求，符合国家相应的标准、规范。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作为“一带一路”起点国家中心城市，目前机动车保有量超过580万辆，位居全国第七，经济发展活跃，交通出行需求愈加旺盛。面对挑战，交管支队始终坚持以人民为中心的发展思想，坚决贯彻落实总书记关于加快建设交通强国的重要指示精神，在部交管局、省总队的坚强领导下深化情指行一体运行机制，紧盯防风险保安全护稳定促发展的主责主业。在数字化网络化信息化智能化实战化上不断突破，实现了科技赋能智慧交管数据支撑引领实战应用。但西安市整体路网密度低，主城区人口密度大，职住分离较大，早晚高峰出行集中，保畅通降事故，交通科技管理任务仍然非常艰巨。 随着数字化发展的不断应用，交通秩序管理大队借助信息技术手段，提高西安的管理能力与应急处置能力，推动全市交通管理实现数字化、信息化，适应技术发展趋势，构建数字交通管理体系。随着支队各类信息化项目不断增加，各部门在标准化文件制定和项目管理等方面，还存在一些经验和能力的短板。因此聘请专业的信息化项目管理咨询团队，可以帮助支队引入先进的管理理念和方法，消除往年信息化建设烟囱式发展的弊端，优化项目管理流程，提高管理实施效率，实现项目风险可控、建设降费增效、数字资产明确等目标，更好为西安交管高质量发展赋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968,176.00</w:t>
      </w:r>
    </w:p>
    <w:p>
      <w:pPr>
        <w:pStyle w:val="null3"/>
      </w:pPr>
      <w:r>
        <w:rPr>
          <w:rFonts w:ascii="仿宋_GB2312" w:hAnsi="仿宋_GB2312" w:cs="仿宋_GB2312" w:eastAsia="仿宋_GB2312"/>
        </w:rPr>
        <w:t>采购包最高限价（元）: 968,176.00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968,176.00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西安作为“一带一路”起点国家中心城市，目前机动车保有量超过580万辆，位居全国第七，经济发展活跃，交通出行需求愈加旺盛。面对挑战，交管支队始终坚持以人民为中心的发展思想，坚决贯彻落实总书记关于加快建设交通强国的重要指示精神，在部交管局、省总队的坚强领导下深化情指行一体运行机制，紧盯防风险保安全护稳定促发展的主责主业。在数字化网络化信息化智能化实战化上不断突破，实现了科技赋能智慧交管数据支撑引领实战应用。但西安市整体路网密度低，主城区人口密度大，职住分离较大，早晚高峰出行集中，保畅通降事故，交通科技管理任务仍然非常艰巨。</w:t>
            </w:r>
          </w:p>
          <w:p>
            <w:pPr>
              <w:pStyle w:val="null3"/>
              <w:ind w:firstLine="400"/>
            </w:pPr>
            <w:r>
              <w:rPr>
                <w:rFonts w:ascii="仿宋_GB2312" w:hAnsi="仿宋_GB2312" w:cs="仿宋_GB2312" w:eastAsia="仿宋_GB2312"/>
              </w:rPr>
              <w:t>随着数字化发展的不断应用，交通秩序管理大队借助信息技术手段，提高西安的管理能力与应急处置能力，推动全市交通管理实现数字化、信息化，适应技术发展趋势，构建数字交通管理体系。随着支队各类信息化项目不断增加，各部门在标准化文件制定和项目管理等方面，还存在一些经验和能力的短板。因此聘请专业的信息化项目管理咨询团队，可以帮助支队引入先进的管理理念和方法，消除往年信息化建设烟囱式发展的弊端，优化项目管理流程，提高管理实施效率，实现项目风险可控、建设降费增效、数字资产明确等目标，更好为西安交管高质量发展赋能。</w:t>
            </w:r>
          </w:p>
          <w:p>
            <w:pPr>
              <w:pStyle w:val="null3"/>
            </w:pPr>
            <w:r>
              <w:rPr>
                <w:rFonts w:ascii="仿宋_GB2312" w:hAnsi="仿宋_GB2312" w:cs="仿宋_GB2312" w:eastAsia="仿宋_GB2312"/>
              </w:rPr>
              <w:t>二、服务内容</w:t>
            </w:r>
          </w:p>
          <w:p>
            <w:pPr>
              <w:pStyle w:val="null3"/>
              <w:ind w:firstLine="400"/>
              <w:jc w:val="both"/>
            </w:pPr>
            <w:r>
              <w:rPr>
                <w:rFonts w:ascii="仿宋_GB2312" w:hAnsi="仿宋_GB2312" w:cs="仿宋_GB2312" w:eastAsia="仿宋_GB2312"/>
              </w:rPr>
              <w:t>本项目的建设内容主要包括：</w:t>
            </w:r>
          </w:p>
          <w:p>
            <w:pPr>
              <w:pStyle w:val="null3"/>
              <w:ind w:firstLine="400"/>
              <w:jc w:val="both"/>
            </w:pPr>
            <w:r>
              <w:rPr>
                <w:rFonts w:ascii="仿宋_GB2312" w:hAnsi="仿宋_GB2312" w:cs="仿宋_GB2312" w:eastAsia="仿宋_GB2312"/>
              </w:rPr>
              <w:t>（一）服务内容</w:t>
            </w:r>
          </w:p>
          <w:p>
            <w:pPr>
              <w:pStyle w:val="null3"/>
              <w:ind w:firstLine="400"/>
              <w:jc w:val="both"/>
            </w:pPr>
            <w:r>
              <w:rPr>
                <w:rFonts w:ascii="仿宋_GB2312" w:hAnsi="仿宋_GB2312" w:cs="仿宋_GB2312" w:eastAsia="仿宋_GB2312"/>
              </w:rPr>
              <w:t>1、信息化项目全过程咨询服务</w:t>
            </w:r>
          </w:p>
          <w:p>
            <w:pPr>
              <w:pStyle w:val="null3"/>
              <w:ind w:firstLine="400"/>
              <w:jc w:val="both"/>
            </w:pPr>
            <w:r>
              <w:rPr>
                <w:rFonts w:ascii="仿宋_GB2312" w:hAnsi="仿宋_GB2312" w:cs="仿宋_GB2312" w:eastAsia="仿宋_GB2312"/>
              </w:rPr>
              <w:t>（1）工作内容</w:t>
            </w:r>
          </w:p>
          <w:p>
            <w:pPr>
              <w:pStyle w:val="null3"/>
              <w:ind w:firstLine="400"/>
              <w:jc w:val="both"/>
            </w:pPr>
            <w:r>
              <w:rPr>
                <w:rFonts w:ascii="仿宋_GB2312" w:hAnsi="仿宋_GB2312" w:cs="仿宋_GB2312" w:eastAsia="仿宋_GB2312"/>
              </w:rPr>
              <w:t>在咨询服务周期内对支队新建信息化项目进行全过程咨询服务和信息化技术评审，咨询内容包括但不限于可行性分析报告、立项建议书、采购需求评审、风险管控、项目成果、履约验收等。</w:t>
            </w:r>
          </w:p>
          <w:p>
            <w:pPr>
              <w:pStyle w:val="null3"/>
              <w:ind w:firstLine="400"/>
              <w:jc w:val="both"/>
            </w:pPr>
            <w:r>
              <w:rPr>
                <w:rFonts w:ascii="仿宋_GB2312" w:hAnsi="仿宋_GB2312" w:cs="仿宋_GB2312" w:eastAsia="仿宋_GB2312"/>
              </w:rPr>
              <w:t>（2）交付成果</w:t>
            </w:r>
          </w:p>
          <w:p>
            <w:pPr>
              <w:pStyle w:val="null3"/>
              <w:ind w:firstLine="400"/>
              <w:jc w:val="both"/>
            </w:pPr>
            <w:r>
              <w:rPr>
                <w:rFonts w:ascii="仿宋_GB2312" w:hAnsi="仿宋_GB2312" w:cs="仿宋_GB2312" w:eastAsia="仿宋_GB2312"/>
              </w:rPr>
              <w:t>①按时提交工作周报不少于32次和月报8次。</w:t>
            </w:r>
          </w:p>
          <w:p>
            <w:pPr>
              <w:pStyle w:val="null3"/>
              <w:ind w:firstLine="400"/>
              <w:jc w:val="both"/>
            </w:pPr>
            <w:r>
              <w:rPr>
                <w:rFonts w:ascii="仿宋_GB2312" w:hAnsi="仿宋_GB2312" w:cs="仿宋_GB2312" w:eastAsia="仿宋_GB2312"/>
              </w:rPr>
              <w:t>②决策和立项阶段：根据2025年度实施的信息化项目的建设目标、内容、规模、关键性能指标和验收要求等编制《2026年度信息化项目建议书》，按需会同甲方编制《信息化项目可行性研究报告》、辅导甲方各部门《2026年度信息化项目立项申请书》等。</w:t>
            </w:r>
          </w:p>
          <w:p>
            <w:pPr>
              <w:pStyle w:val="null3"/>
              <w:ind w:firstLine="400"/>
              <w:jc w:val="both"/>
            </w:pPr>
            <w:r>
              <w:rPr>
                <w:rFonts w:ascii="仿宋_GB2312" w:hAnsi="仿宋_GB2312" w:cs="仿宋_GB2312" w:eastAsia="仿宋_GB2312"/>
              </w:rPr>
              <w:t>③采购阶段：根据采购需求、市场调研、采购策略、采购计划、供应商评价、招投标管理、合同谈判、项目人员审查进度和质量评估、供应商绩效管理等，按需编制《2025年度信息化项目采购需求书》《2025年度信息化项目供应商评价体系》《2025年度信息化项目供应商绩效管理办法》《2025年度信息化项目人员资格审查表》《2025年度信息化项目报审表》等。</w:t>
            </w:r>
          </w:p>
          <w:p>
            <w:pPr>
              <w:pStyle w:val="null3"/>
              <w:ind w:firstLine="400"/>
              <w:jc w:val="both"/>
            </w:pPr>
            <w:r>
              <w:rPr>
                <w:rFonts w:ascii="仿宋_GB2312" w:hAnsi="仿宋_GB2312" w:cs="仿宋_GB2312" w:eastAsia="仿宋_GB2312"/>
              </w:rPr>
              <w:t>④实施阶段：明确项目的具体内容和边界，并对项目参与方进行权责划分、项目资源分配、进度目标控制、质量目标控制、成本目标控制、安全目标控制等，编制《项目实施各方权责表》《项目进度管理文档》《项目风险评估及管控报告》等。</w:t>
            </w:r>
          </w:p>
          <w:p>
            <w:pPr>
              <w:pStyle w:val="null3"/>
              <w:ind w:firstLine="400"/>
              <w:jc w:val="both"/>
            </w:pPr>
            <w:r>
              <w:rPr>
                <w:rFonts w:ascii="仿宋_GB2312" w:hAnsi="仿宋_GB2312" w:cs="仿宋_GB2312" w:eastAsia="仿宋_GB2312"/>
              </w:rPr>
              <w:t>⑤项目验收阶段：根据项目目标要求编制项目验收实施方案，按甲方需要进行初步验收专家和验收小组成员管理、对文档资料、技术成果、产品质量进行验收、并对项目管理过程进行评估、对合同履约情况进行审查、组织项目等保和密评初步验收等，编制《项目验收实施方案》《专家库建立方案》《项目管理过程评估报告》等。</w:t>
            </w:r>
          </w:p>
          <w:p>
            <w:pPr>
              <w:pStyle w:val="null3"/>
              <w:ind w:firstLine="400"/>
              <w:jc w:val="both"/>
            </w:pPr>
            <w:r>
              <w:rPr>
                <w:rFonts w:ascii="仿宋_GB2312" w:hAnsi="仿宋_GB2312" w:cs="仿宋_GB2312" w:eastAsia="仿宋_GB2312"/>
              </w:rPr>
              <w:t>⑥后评价阶段：配合甲方对完工项目实施经济效益评价、过程评价、结果评价和项目运行状态评价等，编制《经济效益评价报告》《运营状态评价报告》《运维服务考核评分表》《满意度评价表》《整体效果评估报告》等。</w:t>
            </w:r>
          </w:p>
          <w:p>
            <w:pPr>
              <w:pStyle w:val="null3"/>
              <w:ind w:firstLine="400"/>
              <w:jc w:val="both"/>
            </w:pPr>
            <w:r>
              <w:rPr>
                <w:rFonts w:ascii="仿宋_GB2312" w:hAnsi="仿宋_GB2312" w:cs="仿宋_GB2312" w:eastAsia="仿宋_GB2312"/>
              </w:rPr>
              <w:t>⑦根据需要组织专家库专家对信息化项目各阶段进行评审，并编制《专家评审报告及建议》。</w:t>
            </w:r>
          </w:p>
          <w:p>
            <w:pPr>
              <w:pStyle w:val="null3"/>
              <w:ind w:firstLine="400"/>
              <w:jc w:val="both"/>
            </w:pPr>
            <w:r>
              <w:rPr>
                <w:rFonts w:ascii="仿宋_GB2312" w:hAnsi="仿宋_GB2312" w:cs="仿宋_GB2312" w:eastAsia="仿宋_GB2312"/>
              </w:rPr>
              <w:t>⑧中标单位应充分调研交管支队近3年的信息化项目建设及实施情况，编制《交管支队信息化发展五年规划纲要》，纲要应涵盖交管支队各系统现状、运维现状、数据流向，结合部、省市工作规划及要求，提出合理的信息化发展纲要。</w:t>
            </w:r>
          </w:p>
          <w:p>
            <w:pPr>
              <w:pStyle w:val="null3"/>
              <w:ind w:left="165"/>
              <w:jc w:val="both"/>
            </w:pPr>
            <w:r>
              <w:rPr>
                <w:rFonts w:ascii="仿宋_GB2312" w:hAnsi="仿宋_GB2312" w:cs="仿宋_GB2312" w:eastAsia="仿宋_GB2312"/>
              </w:rPr>
              <w:t xml:space="preserve">     2、支队数据资源体系咨询服务</w:t>
            </w:r>
          </w:p>
          <w:p>
            <w:pPr>
              <w:pStyle w:val="null3"/>
              <w:ind w:left="405"/>
              <w:jc w:val="both"/>
            </w:pPr>
            <w:r>
              <w:rPr>
                <w:rFonts w:ascii="仿宋_GB2312" w:hAnsi="仿宋_GB2312" w:cs="仿宋_GB2312" w:eastAsia="仿宋_GB2312"/>
              </w:rPr>
              <w:t>（1）工作内容</w:t>
            </w:r>
          </w:p>
          <w:p>
            <w:pPr>
              <w:pStyle w:val="null3"/>
              <w:ind w:firstLine="400"/>
              <w:jc w:val="both"/>
            </w:pPr>
            <w:r>
              <w:rPr>
                <w:rFonts w:ascii="仿宋_GB2312" w:hAnsi="仿宋_GB2312" w:cs="仿宋_GB2312" w:eastAsia="仿宋_GB2312"/>
              </w:rPr>
              <w:t>依据国务院、公安部、省、市数据局数据标准和要求，结合西安交管政务数据需求，通过深入调研支队数据管理现状，在支队现有数据治理（数据中台）的基础上开展西安交管数据资源体系评估，提升现有数据资源可用性，规划数据共享机制等。</w:t>
            </w:r>
          </w:p>
          <w:p>
            <w:pPr>
              <w:pStyle w:val="null3"/>
              <w:ind w:firstLine="400"/>
              <w:jc w:val="both"/>
            </w:pPr>
            <w:r>
              <w:rPr>
                <w:rFonts w:ascii="仿宋_GB2312" w:hAnsi="仿宋_GB2312" w:cs="仿宋_GB2312" w:eastAsia="仿宋_GB2312"/>
              </w:rPr>
              <w:t>（2）成果交付</w:t>
            </w:r>
          </w:p>
          <w:p>
            <w:pPr>
              <w:pStyle w:val="null3"/>
              <w:ind w:firstLine="400"/>
              <w:jc w:val="both"/>
            </w:pPr>
            <w:r>
              <w:rPr>
                <w:rFonts w:ascii="仿宋_GB2312" w:hAnsi="仿宋_GB2312" w:cs="仿宋_GB2312" w:eastAsia="仿宋_GB2312"/>
              </w:rPr>
              <w:t>①通过调研西安交管政务数据来源、数据质量、数据存储、管理流程、现有技术架构等的现状，盘点数据资源情况、结合现有数据中台功能模块与应用场景的使用情况，对数据进行综合分析，编制《数据资源体系调研及分析报告》。</w:t>
            </w:r>
          </w:p>
          <w:p>
            <w:pPr>
              <w:pStyle w:val="null3"/>
              <w:ind w:firstLine="400"/>
              <w:jc w:val="both"/>
            </w:pPr>
            <w:r>
              <w:rPr>
                <w:rFonts w:ascii="仿宋_GB2312" w:hAnsi="仿宋_GB2312" w:cs="仿宋_GB2312" w:eastAsia="仿宋_GB2312"/>
              </w:rPr>
              <w:t>②基于国家标准和行业规范的合规性评估要求，结合数据分类分级框架要求、资源目录体系设计等编制《数据分类分级框架要求》《数据资源体系总体规划方案》《数据资源体系总体评价报告》。</w:t>
            </w:r>
          </w:p>
          <w:p>
            <w:pPr>
              <w:pStyle w:val="null3"/>
              <w:ind w:left="165"/>
              <w:jc w:val="both"/>
            </w:pPr>
            <w:r>
              <w:rPr>
                <w:rFonts w:ascii="仿宋_GB2312" w:hAnsi="仿宋_GB2312" w:cs="仿宋_GB2312" w:eastAsia="仿宋_GB2312"/>
              </w:rPr>
              <w:t xml:space="preserve">     3、前端网络现状调研分析及优化建议</w:t>
            </w:r>
          </w:p>
          <w:p>
            <w:pPr>
              <w:pStyle w:val="null3"/>
              <w:ind w:left="405"/>
              <w:jc w:val="both"/>
            </w:pPr>
            <w:r>
              <w:rPr>
                <w:rFonts w:ascii="仿宋_GB2312" w:hAnsi="仿宋_GB2312" w:cs="仿宋_GB2312" w:eastAsia="仿宋_GB2312"/>
              </w:rPr>
              <w:t>（1）工作内容</w:t>
            </w:r>
          </w:p>
          <w:p>
            <w:pPr>
              <w:pStyle w:val="null3"/>
              <w:ind w:firstLine="400"/>
              <w:jc w:val="both"/>
            </w:pPr>
            <w:r>
              <w:rPr>
                <w:rFonts w:ascii="仿宋_GB2312" w:hAnsi="仿宋_GB2312" w:cs="仿宋_GB2312" w:eastAsia="仿宋_GB2312"/>
              </w:rPr>
              <w:t>参考国家、行业、地方标准及政策文件，对现有通讯链路运行现状和运营服务商等情况进行调研，对支队现有网络资费现状、前端设备使用现状等情况进行分析、针对调研分析发现问题，提出网络设备使用架构评估建设提升方案，包括运营商服务优化、网络架构优化、设备更新升级、运维管理改进等，并编制《交管设备运行网络降费及架构提升方案建议书》。在通讯链路数量保持不变的情况下，网络资费降幅应达到全年资费的5%以上。</w:t>
            </w:r>
          </w:p>
          <w:p>
            <w:pPr>
              <w:pStyle w:val="null3"/>
              <w:ind w:firstLine="400"/>
              <w:jc w:val="both"/>
            </w:pPr>
            <w:r>
              <w:rPr>
                <w:rFonts w:ascii="仿宋_GB2312" w:hAnsi="仿宋_GB2312" w:cs="仿宋_GB2312" w:eastAsia="仿宋_GB2312"/>
              </w:rPr>
              <w:t>（2）交付成果</w:t>
            </w:r>
          </w:p>
          <w:p>
            <w:pPr>
              <w:pStyle w:val="null3"/>
              <w:ind w:firstLine="400"/>
              <w:jc w:val="both"/>
            </w:pPr>
            <w:r>
              <w:rPr>
                <w:rFonts w:ascii="仿宋_GB2312" w:hAnsi="仿宋_GB2312" w:cs="仿宋_GB2312" w:eastAsia="仿宋_GB2312"/>
              </w:rPr>
              <w:t>①调研及评估标准制定</w:t>
            </w:r>
          </w:p>
          <w:p>
            <w:pPr>
              <w:pStyle w:val="null3"/>
              <w:ind w:firstLine="400"/>
              <w:jc w:val="both"/>
            </w:pPr>
            <w:r>
              <w:rPr>
                <w:rFonts w:ascii="仿宋_GB2312" w:hAnsi="仿宋_GB2312" w:cs="仿宋_GB2312" w:eastAsia="仿宋_GB2312"/>
              </w:rPr>
              <w:t>参考国家、行业、地方标准及政策文件，结合交管支队业务现状编制《交管设备运行网络现状调研方法及标准》及《交管设备运行网络现状评估准则》，为后续调研评估奠定基础。</w:t>
            </w:r>
          </w:p>
          <w:p>
            <w:pPr>
              <w:pStyle w:val="null3"/>
              <w:ind w:firstLine="400"/>
              <w:jc w:val="both"/>
            </w:pPr>
            <w:r>
              <w:rPr>
                <w:rFonts w:ascii="仿宋_GB2312" w:hAnsi="仿宋_GB2312" w:cs="仿宋_GB2312" w:eastAsia="仿宋_GB2312"/>
              </w:rPr>
              <w:t>②内部现状调研</w:t>
            </w:r>
          </w:p>
          <w:p>
            <w:pPr>
              <w:pStyle w:val="null3"/>
              <w:ind w:firstLine="400"/>
              <w:jc w:val="both"/>
            </w:pPr>
            <w:r>
              <w:rPr>
                <w:rFonts w:ascii="仿宋_GB2312" w:hAnsi="仿宋_GB2312" w:cs="仿宋_GB2312" w:eastAsia="仿宋_GB2312"/>
              </w:rPr>
              <w:t>网络运营商及运营商服务能力调研：调研支队当前所使用的网络运营商信息，包括但不限于接入带宽、服务合同期限、费用等。开展运营商在网络稳定性、故障响应速度、技术支持等方面的服务能力调研。通过收集运营商提供的服务报告、用户反馈以及实际测试，对运营商的服务水平进行量化评估。编制《交管设备运行网络运营商现状报告》。</w:t>
            </w:r>
          </w:p>
          <w:p>
            <w:pPr>
              <w:pStyle w:val="null3"/>
              <w:ind w:firstLine="400"/>
              <w:jc w:val="both"/>
            </w:pPr>
            <w:r>
              <w:rPr>
                <w:rFonts w:ascii="仿宋_GB2312" w:hAnsi="仿宋_GB2312" w:cs="仿宋_GB2312" w:eastAsia="仿宋_GB2312"/>
              </w:rPr>
              <w:t>网络架构现状调研：梳理支队现有的网络拓扑结构，包括网络设备的型号、数量、分布位置，以及网络连接方式、IP地址分配等信息；分析网络架构在数据传输、网络安全、负载均衡等方面的设计和实现情况。绘制详细的网络拓扑图，展示支队网络架构现状。编制《交管设备运行网络架构现状评估报告》。</w:t>
            </w:r>
          </w:p>
          <w:p>
            <w:pPr>
              <w:pStyle w:val="null3"/>
              <w:ind w:firstLine="400"/>
              <w:jc w:val="both"/>
            </w:pPr>
            <w:r>
              <w:rPr>
                <w:rFonts w:ascii="仿宋_GB2312" w:hAnsi="仿宋_GB2312" w:cs="仿宋_GB2312" w:eastAsia="仿宋_GB2312"/>
              </w:rPr>
              <w:t>网络使用现状及设备使用现状调研：统计网络流量的大小和流向，了解网络资源的利用情况；收集网络应用系统的使用情况，包括应用类型、用户数量、访问频率等信息，评估网络使用的合理性和有效性。对支队网络设备进行全面盘点，包括服务器、终端设备、存储设备、安全设备等，记录设备的型号、配置、使用年限、运行状态等信息；分析设备的性能和功能是否满足当前业务需求，评估设备的使用效率和可靠性。通过设备管理系统和实地检查，确保设备信息的准确性和完整性。编制《交管设备运行网络使用及设备使用报告》。</w:t>
            </w:r>
          </w:p>
          <w:p>
            <w:pPr>
              <w:pStyle w:val="null3"/>
              <w:ind w:firstLine="400"/>
              <w:jc w:val="both"/>
            </w:pPr>
            <w:r>
              <w:rPr>
                <w:rFonts w:ascii="仿宋_GB2312" w:hAnsi="仿宋_GB2312" w:cs="仿宋_GB2312" w:eastAsia="仿宋_GB2312"/>
              </w:rPr>
              <w:t>③现状评估与突出问题分析</w:t>
            </w:r>
          </w:p>
          <w:p>
            <w:pPr>
              <w:pStyle w:val="null3"/>
              <w:ind w:firstLine="400"/>
              <w:jc w:val="both"/>
            </w:pPr>
            <w:r>
              <w:rPr>
                <w:rFonts w:ascii="仿宋_GB2312" w:hAnsi="仿宋_GB2312" w:cs="仿宋_GB2312" w:eastAsia="仿宋_GB2312"/>
              </w:rPr>
              <w:t>现状评估：对调研收集到的信息进行整理和分析，总结支队设备运行网络架构的现状，包括网络运营商的服务情况、网络架构的特点、网络和设备的使用情况等。以图表和文字相结合的方式，直观展示支队设备运行网络架构的现状。</w:t>
            </w:r>
          </w:p>
          <w:p>
            <w:pPr>
              <w:pStyle w:val="null3"/>
              <w:ind w:firstLine="400"/>
              <w:jc w:val="both"/>
            </w:pPr>
            <w:r>
              <w:rPr>
                <w:rFonts w:ascii="仿宋_GB2312" w:hAnsi="仿宋_GB2312" w:cs="仿宋_GB2312" w:eastAsia="仿宋_GB2312"/>
              </w:rPr>
              <w:t>突出问题分析：深入分析网络架构和设备使用中存在的突出问题，如网络拥堵、设备老化、需求无法覆盖等问题。从技术、管理、资金等多个方面，分析问题产生的原因，并评估问题对业务的影响。</w:t>
            </w:r>
          </w:p>
          <w:p>
            <w:pPr>
              <w:pStyle w:val="null3"/>
              <w:ind w:firstLine="400"/>
              <w:jc w:val="both"/>
            </w:pPr>
            <w:r>
              <w:rPr>
                <w:rFonts w:ascii="仿宋_GB2312" w:hAnsi="仿宋_GB2312" w:cs="仿宋_GB2312" w:eastAsia="仿宋_GB2312"/>
              </w:rPr>
              <w:t>④制定提升方案</w:t>
            </w:r>
          </w:p>
          <w:p>
            <w:pPr>
              <w:pStyle w:val="null3"/>
              <w:ind w:firstLine="400"/>
              <w:jc w:val="both"/>
            </w:pPr>
            <w:r>
              <w:rPr>
                <w:rFonts w:ascii="仿宋_GB2312" w:hAnsi="仿宋_GB2312" w:cs="仿宋_GB2312" w:eastAsia="仿宋_GB2312"/>
              </w:rPr>
              <w:t>参考规划与需求：结合省市公安发展规划、城市发展需求以及公安业务工作的实际需要，明确支队设备运行网络架构的建设目标和发展方向。</w:t>
            </w:r>
          </w:p>
          <w:p>
            <w:pPr>
              <w:pStyle w:val="null3"/>
              <w:ind w:firstLine="400"/>
              <w:jc w:val="both"/>
            </w:pPr>
            <w:r>
              <w:rPr>
                <w:rFonts w:ascii="仿宋_GB2312" w:hAnsi="仿宋_GB2312" w:cs="仿宋_GB2312" w:eastAsia="仿宋_GB2312"/>
              </w:rPr>
              <w:t>方案制定：针对现状分析中发现的问题，提出具体的网络设备使用架构评估建设提升方案，包括运营商服务优化、网络架构优化、设备更新升级、运维管理改进等方面的措施。详细说明方案的实施步骤、预期效果和投资估算，为支队的决策提供科学依据。编制《交管设备运行网络降费及架构提升方案建议书》。</w:t>
            </w:r>
          </w:p>
          <w:p>
            <w:pPr>
              <w:pStyle w:val="null3"/>
            </w:pPr>
            <w:r>
              <w:rPr>
                <w:rFonts w:ascii="仿宋_GB2312" w:hAnsi="仿宋_GB2312" w:cs="仿宋_GB2312" w:eastAsia="仿宋_GB2312"/>
              </w:rPr>
              <w:t>三、技术要求</w:t>
            </w:r>
          </w:p>
          <w:p>
            <w:pPr>
              <w:pStyle w:val="null3"/>
              <w:ind w:firstLine="400"/>
              <w:jc w:val="both"/>
            </w:pPr>
            <w:r>
              <w:rPr>
                <w:rFonts w:ascii="仿宋_GB2312" w:hAnsi="仿宋_GB2312" w:cs="仿宋_GB2312" w:eastAsia="仿宋_GB2312"/>
              </w:rPr>
              <w:t>供应商应当具备下列条件：</w:t>
            </w:r>
          </w:p>
          <w:p>
            <w:pPr>
              <w:pStyle w:val="null3"/>
              <w:ind w:firstLine="400"/>
              <w:jc w:val="both"/>
            </w:pPr>
            <w:r>
              <w:rPr>
                <w:rFonts w:ascii="仿宋_GB2312" w:hAnsi="仿宋_GB2312" w:cs="仿宋_GB2312" w:eastAsia="仿宋_GB2312"/>
              </w:rPr>
              <w:t>（一）具有独立承担民事责任的能力；</w:t>
            </w:r>
          </w:p>
          <w:p>
            <w:pPr>
              <w:pStyle w:val="null3"/>
              <w:ind w:firstLine="400"/>
              <w:jc w:val="both"/>
            </w:pPr>
            <w:r>
              <w:rPr>
                <w:rFonts w:ascii="仿宋_GB2312" w:hAnsi="仿宋_GB2312" w:cs="仿宋_GB2312" w:eastAsia="仿宋_GB2312"/>
              </w:rPr>
              <w:t>（二）具有良好的商业信誉和健全的财务会计制度；</w:t>
            </w:r>
          </w:p>
          <w:p>
            <w:pPr>
              <w:pStyle w:val="null3"/>
              <w:ind w:firstLine="400"/>
              <w:jc w:val="both"/>
            </w:pPr>
            <w:r>
              <w:rPr>
                <w:rFonts w:ascii="仿宋_GB2312" w:hAnsi="仿宋_GB2312" w:cs="仿宋_GB2312" w:eastAsia="仿宋_GB2312"/>
              </w:rPr>
              <w:t>（三）具有履行合同所必需的设备和专业技术能力；</w:t>
            </w:r>
          </w:p>
          <w:p>
            <w:pPr>
              <w:pStyle w:val="null3"/>
              <w:ind w:firstLine="400"/>
              <w:jc w:val="both"/>
            </w:pPr>
            <w:r>
              <w:rPr>
                <w:rFonts w:ascii="仿宋_GB2312" w:hAnsi="仿宋_GB2312" w:cs="仿宋_GB2312" w:eastAsia="仿宋_GB2312"/>
              </w:rPr>
              <w:t>（四）有依法缴纳税收和社会保障资金的良好记录；</w:t>
            </w:r>
          </w:p>
          <w:p>
            <w:pPr>
              <w:pStyle w:val="null3"/>
              <w:ind w:firstLine="400"/>
              <w:jc w:val="both"/>
            </w:pPr>
            <w:r>
              <w:rPr>
                <w:rFonts w:ascii="仿宋_GB2312" w:hAnsi="仿宋_GB2312" w:cs="仿宋_GB2312" w:eastAsia="仿宋_GB2312"/>
              </w:rPr>
              <w:t>（五）参加政府采购活动前三年内，在经营活动中没有重大违法记录；</w:t>
            </w:r>
          </w:p>
          <w:p>
            <w:pPr>
              <w:pStyle w:val="null3"/>
              <w:ind w:firstLine="400"/>
              <w:jc w:val="both"/>
            </w:pPr>
            <w:r>
              <w:rPr>
                <w:rFonts w:ascii="仿宋_GB2312" w:hAnsi="仿宋_GB2312" w:cs="仿宋_GB2312" w:eastAsia="仿宋_GB2312"/>
              </w:rPr>
              <w:t>（六）法律、行政法规规定的其他条件。</w:t>
            </w:r>
          </w:p>
          <w:p>
            <w:pPr>
              <w:pStyle w:val="null3"/>
            </w:pPr>
            <w:r>
              <w:rPr>
                <w:rFonts w:ascii="仿宋_GB2312" w:hAnsi="仿宋_GB2312" w:cs="仿宋_GB2312" w:eastAsia="仿宋_GB2312"/>
              </w:rPr>
              <w:t>四、服务要求</w:t>
            </w:r>
          </w:p>
          <w:p>
            <w:pPr>
              <w:pStyle w:val="null3"/>
              <w:ind w:firstLine="400"/>
              <w:jc w:val="both"/>
            </w:pPr>
            <w:r>
              <w:rPr>
                <w:rFonts w:ascii="仿宋_GB2312" w:hAnsi="仿宋_GB2312" w:cs="仿宋_GB2312" w:eastAsia="仿宋_GB2312"/>
              </w:rPr>
              <w:t>人员配置要求</w:t>
            </w:r>
          </w:p>
          <w:p>
            <w:pPr>
              <w:pStyle w:val="null3"/>
              <w:ind w:firstLine="400"/>
              <w:jc w:val="both"/>
            </w:pPr>
            <w:r>
              <w:rPr>
                <w:rFonts w:ascii="仿宋_GB2312" w:hAnsi="仿宋_GB2312" w:cs="仿宋_GB2312" w:eastAsia="仿宋_GB2312"/>
              </w:rPr>
              <w:t>本项目拟采购的服务团队人员规模不少于12人，其中驻场人员3人，技术支持团队不少于9人。</w:t>
            </w:r>
          </w:p>
          <w:p>
            <w:pPr>
              <w:pStyle w:val="null3"/>
              <w:ind w:firstLine="400"/>
              <w:jc w:val="both"/>
            </w:pPr>
            <w:r>
              <w:rPr>
                <w:rFonts w:ascii="仿宋_GB2312" w:hAnsi="仿宋_GB2312" w:cs="仿宋_GB2312" w:eastAsia="仿宋_GB2312"/>
              </w:rPr>
              <w:t>1、开展支队信息化项目的全过程咨询服务，组成多人的服务团队，包括2人驻场服务，特聘专家1名，以及不少于4人技术支持团队，技术支持人员包括政府采购、网络安全、数据管理、注册造价工程师等专业领域人员。</w:t>
            </w:r>
          </w:p>
          <w:p>
            <w:pPr>
              <w:pStyle w:val="null3"/>
              <w:ind w:firstLine="400"/>
              <w:jc w:val="both"/>
            </w:pPr>
            <w:r>
              <w:rPr>
                <w:rFonts w:ascii="仿宋_GB2312" w:hAnsi="仿宋_GB2312" w:cs="仿宋_GB2312" w:eastAsia="仿宋_GB2312"/>
              </w:rPr>
              <w:t>（1）一线驻场人员</w:t>
            </w:r>
          </w:p>
          <w:p>
            <w:pPr>
              <w:pStyle w:val="null3"/>
              <w:ind w:firstLine="400"/>
              <w:jc w:val="both"/>
            </w:pPr>
            <w:r>
              <w:rPr>
                <w:rFonts w:ascii="仿宋_GB2312" w:hAnsi="仿宋_GB2312" w:cs="仿宋_GB2312" w:eastAsia="仿宋_GB2312"/>
              </w:rPr>
              <w:t>派遣2名高级工程师5×8小时一线驻场服务。其中1名人员需持有项目管理相关认证证书或相关专业高级职称证书，具备丰富的项目统筹管理经验；另外1名人员须具备信息类相关专业高级职称证书，在信息化专业领域具备深厚的理论与实践功底。熟悉项目全流程管理，具备扎实的文字功底，熟练掌握档案分类、归档、存储及检索流程。驻场人员主要职责是按项目进度完成咨询任务，详细填写各项工作记录，明确提出咨询项目内外部需求，及时传送汇报咨询及其他往来文件资料，并组织参与各类咨询、评审会议等。</w:t>
            </w:r>
          </w:p>
          <w:p>
            <w:pPr>
              <w:pStyle w:val="null3"/>
              <w:ind w:firstLine="400"/>
              <w:jc w:val="both"/>
            </w:pPr>
            <w:r>
              <w:rPr>
                <w:rFonts w:ascii="仿宋_GB2312" w:hAnsi="仿宋_GB2312" w:cs="仿宋_GB2312" w:eastAsia="仿宋_GB2312"/>
              </w:rPr>
              <w:t>（2）二线支持</w:t>
            </w:r>
          </w:p>
          <w:p>
            <w:pPr>
              <w:pStyle w:val="null3"/>
              <w:ind w:firstLine="400"/>
              <w:jc w:val="both"/>
            </w:pPr>
            <w:r>
              <w:rPr>
                <w:rFonts w:ascii="仿宋_GB2312" w:hAnsi="仿宋_GB2312" w:cs="仿宋_GB2312" w:eastAsia="仿宋_GB2312"/>
              </w:rPr>
              <w:t>不需驻场，组建不少于4人的二线团队提供技术支持，远程专家服务（不少于50人次），熟悉政府机关信息化建设业务、数字政府建设业务的特聘专家1人（曾主导过此类型项目评审工作的专家优先），根据现场需求提供定期（包括风险评估、优化改善、评审服务等）或不定期（现场培训、实地勘察、外出调研等）的支持。</w:t>
            </w:r>
          </w:p>
          <w:p>
            <w:pPr>
              <w:pStyle w:val="null3"/>
              <w:ind w:firstLine="400"/>
              <w:jc w:val="both"/>
            </w:pPr>
            <w:r>
              <w:rPr>
                <w:rFonts w:ascii="仿宋_GB2312" w:hAnsi="仿宋_GB2312" w:cs="仿宋_GB2312" w:eastAsia="仿宋_GB2312"/>
              </w:rPr>
              <w:t>2、《交通管理信息化发展五年规划》专项小组</w:t>
            </w:r>
          </w:p>
          <w:p>
            <w:pPr>
              <w:pStyle w:val="null3"/>
              <w:ind w:firstLine="400"/>
              <w:jc w:val="both"/>
            </w:pPr>
            <w:r>
              <w:rPr>
                <w:rFonts w:ascii="仿宋_GB2312" w:hAnsi="仿宋_GB2312" w:cs="仿宋_GB2312" w:eastAsia="仿宋_GB2312"/>
              </w:rPr>
              <w:t>提供1名驻场人员及不少于4人的专家团队（不驻场），立足科技兴警战略和公安大数据战略，充分考量科技变革趋势和实战需求，按照“警跃计划”的总体布局，围绕“十五五”期间信息化建设的战略方向、重点任务和关键举措提出可行性建议，规划内容具备前瞻性、可行性和实操性。</w:t>
            </w:r>
          </w:p>
          <w:p>
            <w:pPr>
              <w:pStyle w:val="null3"/>
            </w:pPr>
            <w:r>
              <w:rPr>
                <w:rFonts w:ascii="仿宋_GB2312" w:hAnsi="仿宋_GB2312" w:cs="仿宋_GB2312" w:eastAsia="仿宋_GB2312"/>
              </w:rPr>
              <w:t>五、商务要求</w:t>
            </w:r>
          </w:p>
          <w:p>
            <w:pPr>
              <w:pStyle w:val="null3"/>
              <w:ind w:firstLine="400"/>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自合同签订之日起8个月。</w:t>
            </w:r>
          </w:p>
          <w:p>
            <w:pPr>
              <w:pStyle w:val="null3"/>
              <w:ind w:firstLine="400"/>
              <w:jc w:val="both"/>
            </w:pPr>
            <w:r>
              <w:rPr>
                <w:rFonts w:ascii="仿宋_GB2312" w:hAnsi="仿宋_GB2312" w:cs="仿宋_GB2312" w:eastAsia="仿宋_GB2312"/>
              </w:rPr>
              <w:t>（二）款项结算</w:t>
            </w:r>
          </w:p>
          <w:p>
            <w:pPr>
              <w:pStyle w:val="null3"/>
            </w:pPr>
            <w:r>
              <w:rPr>
                <w:rFonts w:ascii="仿宋_GB2312" w:hAnsi="仿宋_GB2312" w:cs="仿宋_GB2312" w:eastAsia="仿宋_GB2312"/>
              </w:rPr>
              <w:t>1、合同签订后15个工作日内支付40%预付款；</w:t>
            </w:r>
          </w:p>
          <w:p>
            <w:pPr>
              <w:pStyle w:val="null3"/>
              <w:pBdr>
                <w:top w:val="none" w:color="000000" w:sz="4"/>
                <w:left w:val="none" w:color="000000" w:sz="4"/>
                <w:bottom w:val="none" w:color="000000" w:sz="4"/>
                <w:right w:val="none" w:color="000000" w:sz="4"/>
              </w:pBdr>
              <w:ind w:firstLine="400"/>
            </w:pPr>
            <w:r>
              <w:rPr>
                <w:rFonts w:ascii="仿宋_GB2312" w:hAnsi="仿宋_GB2312" w:cs="仿宋_GB2312" w:eastAsia="仿宋_GB2312"/>
              </w:rPr>
              <w:t>2、2025年6月30日前支付20%进度款；</w:t>
            </w:r>
          </w:p>
          <w:p>
            <w:pPr>
              <w:pStyle w:val="null3"/>
              <w:pBdr>
                <w:top w:val="none" w:color="000000" w:sz="4"/>
                <w:left w:val="none" w:color="000000" w:sz="4"/>
                <w:bottom w:val="none" w:color="000000" w:sz="4"/>
                <w:right w:val="none" w:color="000000" w:sz="4"/>
              </w:pBdr>
              <w:ind w:firstLine="400"/>
              <w:jc w:val="both"/>
            </w:pPr>
            <w:r>
              <w:rPr>
                <w:rFonts w:ascii="仿宋_GB2312" w:hAnsi="仿宋_GB2312" w:cs="仿宋_GB2312" w:eastAsia="仿宋_GB2312"/>
              </w:rPr>
              <w:t>3、2025年12月20日前支付30%进度款；</w:t>
            </w:r>
          </w:p>
          <w:p>
            <w:pPr>
              <w:pStyle w:val="null3"/>
              <w:pBdr>
                <w:top w:val="none" w:color="000000" w:sz="4"/>
                <w:left w:val="none" w:color="000000" w:sz="4"/>
                <w:bottom w:val="none" w:color="000000" w:sz="4"/>
                <w:right w:val="none" w:color="000000" w:sz="4"/>
              </w:pBdr>
              <w:ind w:firstLine="400"/>
              <w:jc w:val="both"/>
            </w:pPr>
            <w:r>
              <w:rPr>
                <w:rFonts w:ascii="仿宋_GB2312" w:hAnsi="仿宋_GB2312" w:cs="仿宋_GB2312" w:eastAsia="仿宋_GB2312"/>
              </w:rPr>
              <w:t>4、项目验收合格，并经结算审计后10个工作日内支付尾款。</w:t>
            </w:r>
          </w:p>
          <w:p>
            <w:pPr>
              <w:pStyle w:val="null3"/>
              <w:pBdr>
                <w:top w:val="none" w:color="000000" w:sz="4"/>
                <w:left w:val="none" w:color="000000" w:sz="4"/>
                <w:bottom w:val="none" w:color="000000" w:sz="4"/>
                <w:right w:val="none" w:color="000000" w:sz="4"/>
              </w:pBdr>
              <w:ind w:firstLine="402"/>
              <w:jc w:val="both"/>
            </w:pPr>
            <w:r>
              <w:rPr>
                <w:rFonts w:ascii="仿宋_GB2312" w:hAnsi="仿宋_GB2312" w:cs="仿宋_GB2312" w:eastAsia="仿宋_GB2312"/>
              </w:rPr>
              <w:t>六、其他</w:t>
            </w:r>
          </w:p>
          <w:p>
            <w:pPr>
              <w:pStyle w:val="null3"/>
              <w:ind w:firstLine="400"/>
              <w:jc w:val="both"/>
            </w:pPr>
            <w:r>
              <w:rPr>
                <w:rFonts w:ascii="仿宋_GB2312" w:hAnsi="仿宋_GB2312" w:cs="仿宋_GB2312" w:eastAsia="仿宋_GB2312"/>
              </w:rPr>
              <w:t>（一）进度要求</w:t>
            </w:r>
          </w:p>
          <w:p>
            <w:pPr>
              <w:pStyle w:val="null3"/>
              <w:ind w:firstLine="400"/>
              <w:jc w:val="both"/>
            </w:pPr>
            <w:r>
              <w:rPr>
                <w:rFonts w:ascii="仿宋_GB2312" w:hAnsi="仿宋_GB2312" w:cs="仿宋_GB2312" w:eastAsia="仿宋_GB2312"/>
              </w:rPr>
              <w:t>1、合同签订后10天内交付“前端网络现状调研分析及优化建议”的成果；</w:t>
            </w:r>
          </w:p>
          <w:p>
            <w:pPr>
              <w:pStyle w:val="null3"/>
              <w:ind w:firstLine="400"/>
              <w:jc w:val="both"/>
            </w:pPr>
            <w:r>
              <w:rPr>
                <w:rFonts w:ascii="仿宋_GB2312" w:hAnsi="仿宋_GB2312" w:cs="仿宋_GB2312" w:eastAsia="仿宋_GB2312"/>
              </w:rPr>
              <w:t>2、2025年10月30日前交付“支队数据资源体系咨询服务”的成果。</w:t>
            </w:r>
          </w:p>
          <w:p>
            <w:pPr>
              <w:pStyle w:val="null3"/>
              <w:ind w:left="420"/>
              <w:jc w:val="both"/>
            </w:pPr>
            <w:r>
              <w:rPr>
                <w:rFonts w:ascii="仿宋_GB2312" w:hAnsi="仿宋_GB2312" w:cs="仿宋_GB2312" w:eastAsia="仿宋_GB2312"/>
              </w:rPr>
              <w:t>（二）成果交付要求</w:t>
            </w:r>
          </w:p>
          <w:p>
            <w:pPr>
              <w:pStyle w:val="null3"/>
              <w:ind w:firstLine="400"/>
              <w:jc w:val="both"/>
            </w:pPr>
            <w:r>
              <w:rPr>
                <w:rFonts w:ascii="仿宋_GB2312" w:hAnsi="仿宋_GB2312" w:cs="仿宋_GB2312" w:eastAsia="仿宋_GB2312"/>
              </w:rPr>
              <w:t>所有交付成果应符合支队工作实际，并需要专家论证。</w:t>
            </w:r>
          </w:p>
          <w:p>
            <w:pPr>
              <w:pStyle w:val="null3"/>
              <w:ind w:firstLine="400"/>
            </w:pPr>
            <w:r>
              <w:rPr>
                <w:rFonts w:ascii="仿宋_GB2312" w:hAnsi="仿宋_GB2312" w:cs="仿宋_GB2312" w:eastAsia="仿宋_GB2312"/>
              </w:rPr>
              <w:t>（三）质量验收标准或规范</w:t>
            </w:r>
          </w:p>
          <w:p>
            <w:pPr>
              <w:pStyle w:val="null3"/>
              <w:ind w:firstLine="400"/>
            </w:pPr>
            <w:r>
              <w:rPr>
                <w:rFonts w:ascii="仿宋_GB2312" w:hAnsi="仿宋_GB2312" w:cs="仿宋_GB2312" w:eastAsia="仿宋_GB2312"/>
              </w:rPr>
              <w:t>现行的国家标准或国家行政部门颁布的法律法规、规章制度等。</w:t>
            </w:r>
          </w:p>
          <w:p>
            <w:pPr>
              <w:pStyle w:val="null3"/>
              <w:ind w:firstLine="400"/>
            </w:pPr>
            <w:r>
              <w:rPr>
                <w:rFonts w:ascii="仿宋_GB2312" w:hAnsi="仿宋_GB2312" w:cs="仿宋_GB2312" w:eastAsia="仿宋_GB2312"/>
              </w:rPr>
              <w:t>《国家电子政务技术和运行管理规范》（GBT 21061-2007）《ISO/IEC 20000-1:2005，IDT》</w:t>
            </w:r>
          </w:p>
          <w:p>
            <w:pPr>
              <w:pStyle w:val="null3"/>
              <w:ind w:firstLine="400"/>
            </w:pPr>
            <w:r>
              <w:rPr>
                <w:rFonts w:ascii="仿宋_GB2312" w:hAnsi="仿宋_GB2312" w:cs="仿宋_GB2312" w:eastAsia="仿宋_GB2312"/>
              </w:rPr>
              <w:t>信息技术服务管理规范《ISO/IEC 27001:2005，IDT》</w:t>
            </w:r>
          </w:p>
          <w:p>
            <w:pPr>
              <w:pStyle w:val="null3"/>
              <w:ind w:firstLine="400"/>
            </w:pPr>
            <w:r>
              <w:rPr>
                <w:rFonts w:ascii="仿宋_GB2312" w:hAnsi="仿宋_GB2312" w:cs="仿宋_GB2312" w:eastAsia="仿宋_GB2312"/>
              </w:rPr>
              <w:t>信息技术 ITSS 信息技术服务标准</w:t>
            </w:r>
          </w:p>
          <w:p>
            <w:pPr>
              <w:pStyle w:val="null3"/>
              <w:ind w:firstLine="400"/>
            </w:pPr>
            <w:r>
              <w:rPr>
                <w:rFonts w:ascii="仿宋_GB2312" w:hAnsi="仿宋_GB2312" w:cs="仿宋_GB2312" w:eastAsia="仿宋_GB2312"/>
              </w:rPr>
              <w:t>GB/T 19001-2000 质量管理体系要求</w:t>
            </w:r>
          </w:p>
          <w:p>
            <w:pPr>
              <w:pStyle w:val="null3"/>
              <w:ind w:firstLine="400"/>
            </w:pPr>
            <w:r>
              <w:rPr>
                <w:rFonts w:ascii="仿宋_GB2312" w:hAnsi="仿宋_GB2312" w:cs="仿宋_GB2312" w:eastAsia="仿宋_GB2312"/>
              </w:rPr>
              <w:t>GB/T 37961-2019 信息技术服务－服务基本要求</w:t>
            </w:r>
          </w:p>
          <w:p>
            <w:pPr>
              <w:pStyle w:val="null3"/>
              <w:ind w:firstLine="400"/>
            </w:pPr>
            <w:r>
              <w:rPr>
                <w:rFonts w:ascii="仿宋_GB2312" w:hAnsi="仿宋_GB2312" w:cs="仿宋_GB2312" w:eastAsia="仿宋_GB2312"/>
              </w:rPr>
              <w:t>GB/T 33850-2017 信息技术服务－质量评价指标体系</w:t>
            </w:r>
          </w:p>
          <w:p>
            <w:pPr>
              <w:pStyle w:val="null3"/>
              <w:ind w:firstLine="400"/>
            </w:pPr>
            <w:r>
              <w:rPr>
                <w:rFonts w:ascii="仿宋_GB2312" w:hAnsi="仿宋_GB2312" w:cs="仿宋_GB2312" w:eastAsia="仿宋_GB2312"/>
              </w:rPr>
              <w:t>GB/T 36074.2-2018 信息技术服务－服务管理－第2部分：实施指南</w:t>
            </w:r>
          </w:p>
          <w:p>
            <w:pPr>
              <w:pStyle w:val="null3"/>
              <w:ind w:firstLine="400"/>
            </w:pPr>
            <w:r>
              <w:rPr>
                <w:rFonts w:ascii="仿宋_GB2312" w:hAnsi="仿宋_GB2312" w:cs="仿宋_GB2312" w:eastAsia="仿宋_GB2312"/>
              </w:rPr>
              <w:t>GB/T 36074.3-2019 信息技术服务－服务管理－第3部分：技术要求</w:t>
            </w:r>
          </w:p>
          <w:p>
            <w:pPr>
              <w:pStyle w:val="null3"/>
              <w:ind w:firstLine="400"/>
            </w:pPr>
            <w:r>
              <w:rPr>
                <w:rFonts w:ascii="仿宋_GB2312" w:hAnsi="仿宋_GB2312" w:cs="仿宋_GB2312" w:eastAsia="仿宋_GB2312"/>
              </w:rPr>
              <w:t>GB/T 22080-2016 信息技术－安全技术－信息安全管理体系要求</w:t>
            </w:r>
          </w:p>
          <w:p>
            <w:pPr>
              <w:pStyle w:val="null3"/>
              <w:ind w:firstLine="400"/>
            </w:pPr>
            <w:r>
              <w:rPr>
                <w:rFonts w:ascii="仿宋_GB2312" w:hAnsi="仿宋_GB2312" w:cs="仿宋_GB2312" w:eastAsia="仿宋_GB2312"/>
              </w:rPr>
              <w:t>GB/T 28827.4-2019 信息技术服务－运行维护－第4部分：数据中心服务要求</w:t>
            </w:r>
          </w:p>
          <w:p>
            <w:pPr>
              <w:pStyle w:val="null3"/>
              <w:ind w:firstLine="400"/>
            </w:pPr>
            <w:r>
              <w:rPr>
                <w:rFonts w:ascii="仿宋_GB2312" w:hAnsi="仿宋_GB2312" w:cs="仿宋_GB2312" w:eastAsia="仿宋_GB2312"/>
              </w:rPr>
              <w:t>GB/T 36626-2018 信息安全技术-信息系统安全运维管理指南</w:t>
            </w:r>
          </w:p>
          <w:p>
            <w:pPr>
              <w:pStyle w:val="null3"/>
              <w:ind w:firstLine="400"/>
            </w:pPr>
            <w:r>
              <w:rPr>
                <w:rFonts w:ascii="仿宋_GB2312" w:hAnsi="仿宋_GB2312" w:cs="仿宋_GB2312" w:eastAsia="仿宋_GB2312"/>
              </w:rPr>
              <w:t>GB/T 33356-2022《新型智慧城市评价指标》</w:t>
            </w:r>
          </w:p>
          <w:p>
            <w:pPr>
              <w:pStyle w:val="null3"/>
              <w:ind w:firstLine="400"/>
            </w:pPr>
            <w:r>
              <w:rPr>
                <w:rFonts w:ascii="仿宋_GB2312" w:hAnsi="仿宋_GB2312" w:cs="仿宋_GB2312" w:eastAsia="仿宋_GB2312"/>
              </w:rPr>
              <w:t>GB/T 34680.5-2022《智慧城市评价模型及基础评价指标体系 第5部分：交通》</w:t>
            </w:r>
          </w:p>
          <w:p>
            <w:pPr>
              <w:pStyle w:val="null3"/>
              <w:ind w:firstLine="400"/>
            </w:pPr>
            <w:r>
              <w:rPr>
                <w:rFonts w:ascii="仿宋_GB2312" w:hAnsi="仿宋_GB2312" w:cs="仿宋_GB2312" w:eastAsia="仿宋_GB2312"/>
              </w:rPr>
              <w:t>《信息系统工程监理暂行规定）》（信部信〔2002〕570号文）</w:t>
            </w:r>
          </w:p>
          <w:p>
            <w:pPr>
              <w:pStyle w:val="null3"/>
              <w:ind w:firstLine="400"/>
            </w:pPr>
            <w:r>
              <w:rPr>
                <w:rFonts w:ascii="仿宋_GB2312" w:hAnsi="仿宋_GB2312" w:cs="仿宋_GB2312" w:eastAsia="仿宋_GB2312"/>
              </w:rPr>
              <w:t>《国家计委关于印发建设项目前期工作咨询收费暂行规定的通知》</w:t>
            </w:r>
          </w:p>
          <w:p>
            <w:pPr>
              <w:pStyle w:val="null3"/>
              <w:ind w:firstLine="400"/>
            </w:pPr>
            <w:r>
              <w:rPr>
                <w:rFonts w:ascii="仿宋_GB2312" w:hAnsi="仿宋_GB2312" w:cs="仿宋_GB2312" w:eastAsia="仿宋_GB2312"/>
              </w:rPr>
              <w:t>《转发国家计委关于印发建设项目前期工作咨询收费暂行规定的通知》（粤价〔2000〕8号）</w:t>
            </w:r>
          </w:p>
          <w:p>
            <w:pPr>
              <w:pStyle w:val="null3"/>
              <w:ind w:firstLine="400"/>
            </w:pPr>
            <w:r>
              <w:rPr>
                <w:rFonts w:ascii="仿宋_GB2312" w:hAnsi="仿宋_GB2312" w:cs="仿宋_GB2312" w:eastAsia="仿宋_GB2312"/>
              </w:rPr>
              <w:t>《信息系统工程监理单位资质等级评定条件（2012年修订版）》</w:t>
            </w:r>
          </w:p>
          <w:p>
            <w:pPr>
              <w:pStyle w:val="null3"/>
              <w:ind w:firstLine="400"/>
            </w:pPr>
            <w:r>
              <w:rPr>
                <w:rFonts w:ascii="仿宋_GB2312" w:hAnsi="仿宋_GB2312" w:cs="仿宋_GB2312" w:eastAsia="仿宋_GB2312"/>
              </w:rPr>
              <w:t>《信息系统工程监理单位资质等级评定条件实施细则》（工信计资[2012]号文）</w:t>
            </w:r>
          </w:p>
          <w:p>
            <w:pPr>
              <w:pStyle w:val="null3"/>
              <w:ind w:firstLine="400"/>
            </w:pPr>
            <w:r>
              <w:rPr>
                <w:rFonts w:ascii="仿宋_GB2312" w:hAnsi="仿宋_GB2312" w:cs="仿宋_GB2312" w:eastAsia="仿宋_GB2312"/>
              </w:rPr>
              <w:t>《国家电子政务工程建设项目管理暂行办法》（国家发展和改革委员会第55号令）</w:t>
            </w:r>
          </w:p>
          <w:p>
            <w:pPr>
              <w:pStyle w:val="null3"/>
              <w:ind w:firstLine="400"/>
            </w:pPr>
            <w:r>
              <w:rPr>
                <w:rFonts w:ascii="仿宋_GB2312" w:hAnsi="仿宋_GB2312" w:cs="仿宋_GB2312" w:eastAsia="仿宋_GB2312"/>
              </w:rPr>
              <w:t>（四）保密要求</w:t>
            </w:r>
          </w:p>
          <w:p>
            <w:pPr>
              <w:pStyle w:val="null3"/>
              <w:ind w:firstLine="400"/>
            </w:pPr>
            <w:r>
              <w:rPr>
                <w:rFonts w:ascii="仿宋_GB2312" w:hAnsi="仿宋_GB2312" w:cs="仿宋_GB2312" w:eastAsia="仿宋_GB2312"/>
              </w:rPr>
              <w:t>因公安系统的安全性和特殊性，供应方应对因履行合同而取得的信息、资料等予以保密。未经甲方书面同意，均不得为与履行合同无关的目的使用或向第三方披露甲方的信息、资料。项目过程中如需涉及西安市公安局交通管理支队的数据信息，必须先通过相关负责人的认可，项目工作的数据信息（无论是打印或介质上的数据信息）不得带离工作现场，不得随意复制和传播。</w:t>
            </w:r>
          </w:p>
          <w:p>
            <w:pPr>
              <w:pStyle w:val="null3"/>
              <w:ind w:firstLine="400"/>
            </w:pPr>
            <w:r>
              <w:rPr>
                <w:rFonts w:ascii="仿宋_GB2312" w:hAnsi="仿宋_GB2312" w:cs="仿宋_GB2312" w:eastAsia="仿宋_GB2312"/>
              </w:rPr>
              <w:t>（五）审计要求</w:t>
            </w:r>
          </w:p>
          <w:p>
            <w:pPr>
              <w:pStyle w:val="null3"/>
              <w:ind w:firstLine="400"/>
            </w:pPr>
            <w:r>
              <w:rPr>
                <w:rFonts w:ascii="仿宋_GB2312" w:hAnsi="仿宋_GB2312" w:cs="仿宋_GB2312" w:eastAsia="仿宋_GB2312"/>
              </w:rPr>
              <w:t>本项目依据《西安市公安局交通管理支队重大投资建设项目结算审计办法》开展项目结算审计，实际结算金额应以结算审计的审定金额为准。</w:t>
            </w:r>
          </w:p>
          <w:p>
            <w:pPr>
              <w:pStyle w:val="null3"/>
              <w:ind w:firstLine="400"/>
            </w:pPr>
            <w:r>
              <w:rPr>
                <w:rFonts w:ascii="仿宋_GB2312" w:hAnsi="仿宋_GB2312" w:cs="仿宋_GB2312" w:eastAsia="仿宋_GB2312"/>
              </w:rPr>
              <w:t>（六）验收方案</w:t>
            </w:r>
          </w:p>
          <w:p>
            <w:pPr>
              <w:pStyle w:val="null3"/>
              <w:ind w:firstLine="400"/>
            </w:pPr>
            <w:r>
              <w:rPr>
                <w:rFonts w:ascii="仿宋_GB2312" w:hAnsi="仿宋_GB2312" w:cs="仿宋_GB2312" w:eastAsia="仿宋_GB2312"/>
              </w:rPr>
              <w:t>1、设计成果需通过信息化评审，评审通过后，由甲方成立验收小组组织验收。</w:t>
            </w:r>
          </w:p>
          <w:p>
            <w:pPr>
              <w:pStyle w:val="null3"/>
              <w:ind w:firstLine="400"/>
            </w:pPr>
            <w:r>
              <w:rPr>
                <w:rFonts w:ascii="仿宋_GB2312" w:hAnsi="仿宋_GB2312" w:cs="仿宋_GB2312" w:eastAsia="仿宋_GB2312"/>
              </w:rPr>
              <w:t>2、乙方向甲方提交服务实施过程中的所有资料。</w:t>
            </w:r>
          </w:p>
          <w:p>
            <w:pPr>
              <w:pStyle w:val="null3"/>
              <w:ind w:firstLine="400"/>
            </w:pPr>
            <w:r>
              <w:rPr>
                <w:rFonts w:ascii="仿宋_GB2312" w:hAnsi="仿宋_GB2312" w:cs="仿宋_GB2312" w:eastAsia="仿宋_GB2312"/>
              </w:rPr>
              <w:t>3、验收依据</w:t>
            </w:r>
          </w:p>
          <w:p>
            <w:pPr>
              <w:pStyle w:val="null3"/>
              <w:ind w:firstLine="400"/>
            </w:pPr>
            <w:r>
              <w:rPr>
                <w:rFonts w:ascii="仿宋_GB2312" w:hAnsi="仿宋_GB2312" w:cs="仿宋_GB2312" w:eastAsia="仿宋_GB2312"/>
              </w:rPr>
              <w:t>（1）招投标文件；</w:t>
            </w:r>
          </w:p>
          <w:p>
            <w:pPr>
              <w:pStyle w:val="null3"/>
              <w:ind w:firstLine="400"/>
            </w:pPr>
            <w:r>
              <w:rPr>
                <w:rFonts w:ascii="仿宋_GB2312" w:hAnsi="仿宋_GB2312" w:cs="仿宋_GB2312" w:eastAsia="仿宋_GB2312"/>
              </w:rPr>
              <w:t>（2）合同及附件文本；</w:t>
            </w:r>
          </w:p>
          <w:p>
            <w:pPr>
              <w:pStyle w:val="null3"/>
            </w:pPr>
            <w:r>
              <w:rPr>
                <w:rFonts w:ascii="仿宋_GB2312" w:hAnsi="仿宋_GB2312" w:cs="仿宋_GB2312" w:eastAsia="仿宋_GB2312"/>
              </w:rPr>
              <w:t xml:space="preserve">   （3）国家相应的标准、规范。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1、网络评估调研相关成果需通过信息化评审，评审通过后，由甲方成立验收小组组织验收。 2、乙方向甲方提交服务实施过程中的所有资料。 3、验收依据 （1）招投标文件；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19</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2025年6月30日前</w:t>
      </w:r>
      <w:r>
        <w:rPr>
          <w:rFonts w:ascii="仿宋_GB2312" w:hAnsi="仿宋_GB2312" w:cs="仿宋_GB2312" w:eastAsia="仿宋_GB2312"/>
        </w:rPr>
        <w:t xml:space="preserve"> ，达到付款条件起 </w:t>
      </w:r>
      <w:r>
        <w:rPr>
          <w:rFonts w:ascii="仿宋_GB2312" w:hAnsi="仿宋_GB2312" w:cs="仿宋_GB2312" w:eastAsia="仿宋_GB2312"/>
        </w:rPr>
        <w:t>12</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2025年12月20日前</w:t>
      </w:r>
      <w:r>
        <w:rPr>
          <w:rFonts w:ascii="仿宋_GB2312" w:hAnsi="仿宋_GB2312" w:cs="仿宋_GB2312" w:eastAsia="仿宋_GB2312"/>
        </w:rPr>
        <w:t xml:space="preserve"> ，达到付款条件起 </w:t>
      </w:r>
      <w:r>
        <w:rPr>
          <w:rFonts w:ascii="仿宋_GB2312" w:hAnsi="仿宋_GB2312" w:cs="仿宋_GB2312" w:eastAsia="仿宋_GB2312"/>
        </w:rPr>
        <w:t>12</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项目验收合格，并经结算审计</w:t>
      </w:r>
      <w:r>
        <w:rPr>
          <w:rFonts w:ascii="仿宋_GB2312" w:hAnsi="仿宋_GB2312" w:cs="仿宋_GB2312" w:eastAsia="仿宋_GB2312"/>
        </w:rPr>
        <w:t xml:space="preserve"> ，达到付款条件起 </w:t>
      </w:r>
      <w:r>
        <w:rPr>
          <w:rFonts w:ascii="仿宋_GB2312" w:hAnsi="仿宋_GB2312" w:cs="仿宋_GB2312" w:eastAsia="仿宋_GB2312"/>
        </w:rPr>
        <w:t>12</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2.未按合同要求提供服务或服务质量不能满足服务要求和标准，采购方有权终止合同，并对供方违约行为进行追究，同时按《中华人民共和国政府采购法》的有关规定进行处罚。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3.4.2（响应文件格式-标的清单）本项目服务范围：信息化项目全过程咨询服务；服务要求：符合磋商文件有关技术、商务要求；服务标准：符合国家和省、市有关行业标准及采购人的有关规定。3.4.3支付约定以3.2.2中款项结算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参加政府采购活动前三年内，在经营活动中没有重大违法记录的声明；</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具备履行合同所必须的设备和专业技术能力</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供应商须为中小微企业或监狱企业或残疾人福利性单位</w:t>
            </w:r>
          </w:p>
        </w:tc>
        <w:tc>
          <w:tcPr>
            <w:tcW w:type="dxa" w:w="3322"/>
          </w:tcPr>
          <w:p>
            <w:pPr>
              <w:pStyle w:val="null3"/>
            </w:pPr>
            <w:r>
              <w:rPr>
                <w:rFonts w:ascii="仿宋_GB2312" w:hAnsi="仿宋_GB2312" w:cs="仿宋_GB2312" w:eastAsia="仿宋_GB2312"/>
              </w:rPr>
              <w:t>中小企业声明函（工程、服务）或残疾人福利性单位声明函或监狱企业证明文件。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其他附件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其他附件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其他附件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评审得分相同的，按照最后报价由低到高的顺序推荐。评审得分且最后报价相同的，按照实施方案优劣顺序推荐。评审得分且最后报价且技术指标得分均相同的，由采购人采取随机抽取的方式确定成交供应商。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区间分0-15分。 评审标准细化内容： 包括但不限于①信息化项目全过程管理咨询服务：对项目服务期内的需求理解，项目服务重点、难点分析②支队数据资源体系咨询服务：对项目服务期内的需求理解，项目服务重点、难点分析③前端网络现状调研分析及优化建议咨询服务：对项目服务期内的需求理解，项目服务重点、难点分析。 评审标准： 1、完整性：内容详细全面，对服务项了解透彻； 2、真实性：切合本项目实际情况，描述贴合实际和本次采购要求； 3、针对性：对项目的理解要有足够的针对性，重难点分析紧扣项目实际情况。 评审标准量化内容： （1）各部分内容全面详细、阐述条理清晰详尽、符合本项目采购需求得15分； （2）评审标准细化内容每缺少一项扣5分；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区间分值0-24分。 评审标准细化内容： 根据本项目需求，提供相应的整体服务方案，方案内容包括但不限于①信息化项目全过程管理咨询服务整体服务方案②支队数据资源体系咨询服务整体服务方案③前端网络现状调研分析及优化建议咨询服务整体服务方案。 评审标准： 1、可实施性：切合本项目实际情况，方案全面、实施步骤清晰、合理； 2、针对性：方案能够紧扣项目实际情况，内容科学合理； 评审标准量化内容： （1）各部分内容全面详细、阐述条理清晰详尽、符合本项目采购需求得24分； （2）评审标准细化内容每缺少一项内容扣8分；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编制成果文件实施方案</w:t>
            </w:r>
          </w:p>
        </w:tc>
        <w:tc>
          <w:tcPr>
            <w:tcW w:type="dxa" w:w="2492"/>
          </w:tcPr>
          <w:p>
            <w:pPr>
              <w:pStyle w:val="null3"/>
            </w:pPr>
            <w:r>
              <w:rPr>
                <w:rFonts w:ascii="仿宋_GB2312" w:hAnsi="仿宋_GB2312" w:cs="仿宋_GB2312" w:eastAsia="仿宋_GB2312"/>
              </w:rPr>
              <w:t>区间分值0-12分。 评审标准细化内容： 供应商针对《数据资源体系调研及分析报告》、《交管设备运行网络降费及架构提升方案建议书》，提供编制实施方案，包括但不限于①编制团队（提供编制人员清单，包括姓名、工作单位、职称、奖项等重要信息）②编制方案。 评审标准量化内容： 1、内容无缺项、编制人员清单内容完整、人员配备合理、主要编制人员相关工作经验丰富；编制方案思路清晰、内容详细，可实施性强得12分； 2、内容无缺项、编制人员清单内容完整、人员配备合理、主要编制人员相关工作经验较丰富；编制方案思路清晰、内容详细，可实施性较强得8分； 3、内容无缺项、编制人员清单内容完整、人员配备合理；编制方案基本可实施得4分； 4、内容有缺项、编制人员清单内容完整、人员配备不合理；编制方案内容粗略得1分； 5、不提供人员清单及方案不得分。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区间分值：0-12分。 评审标准细化内容： 供应商针对本项目提出①质量管理体系；②质量计划、咨询评价过程质量控制的方法措施③交付和售后服务质量控制。 评审标准： 1、完整性：质量管理体系；质量计划、咨询评价过程质量控制的方法措施；交付和售后服务质量控制必须全面，有详细描述； 2、合理性：质量管理体系；质量计划、咨询评价过程质量控制的方法措施；交付和售后服务质量控制须切合本项目实际情况，具有相应措施。 评审标准量化内容： (1)评审标准细化内容全面详细、阐述条理清晰详尽、符合本项目采购需求得12分；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区间分值0-8分。 评审标准细化内容： 根据本项目的信息化项目全过程管理咨询服务、支队数据资源体系咨询服务、前端网络现状调研分析及优化建议咨询服务，提供①进度计划②进度保证措施，保证实施进度。 评审标准： 1、可实施性：切合本项目实际情况，方案全面、实施步骤清晰、合理； 2、针对性：方案能够紧扣项目实际情况，内容科学合理； 评审标准量化内容： （1）评审标准细化内容全面详细、阐述条理清晰详尽、符合本项目采购需求得8分；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供应商根据本项目采购需求提供拟派服务团队，除采购文件要求以外，每提供一名中级职称人员得0.5分，最高得2分；每提供一名高级及以上职称人员得1分，最高得3分； 备注：需提供本人身份证明及本单位在册相关证书复印件并加盖公章。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区间分值0-3分。 评审标准细化内容： 供应商针对本项目提出服务承诺①项目负责人在项目服务期内全程驻场提供咨询服务；②中标后实际参与项目实施的团队人员与响应文件中拟派人员数量、资质一致，非采购人同意不得调整；③项目团队成员在服务期内不得擅自离岗或参与实施其他项目。 评审标准细化内容： （1）内容完整，有详细描述，承诺内容切合本项目实际情况得3分； （2）内容有1项缺项，得2分； （3）内容有2项缺项，得1分； 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区间分值0-4分。 评审标准细化内容： 供应商提供针对本项目采购需求，提供针对本项目的合理化建议。 评审标准量化内容： 1、内容针对性强、全面，有利于项目实施得4分； 2、内容针对性一般得2分； 3、内容空洞，与项目需求不匹配得1分；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供应商须提供2022年1月至今同类似目业绩，以合同签订日期为准，每提供一份得2分，满分2分（以加盖公章的合同复印件为准）。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