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版本号：TZZB-Z-2025057C20250528001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电子卷宗同步生成项目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TZZB-Z-2025057C</w:t>
      </w:r>
      <w:r>
        <w:br/>
      </w:r>
      <w:r>
        <w:br/>
      </w:r>
      <w:r>
        <w:br/>
      </w:r>
    </w:p>
    <w:p>
      <w:pPr>
        <w:pStyle w:val="null3"/>
        <w:jc w:val="center"/>
        <w:outlineLvl w:val="2"/>
      </w:pPr>
      <w:r>
        <w:rPr>
          <w:rFonts w:ascii="仿宋_GB2312" w:hAnsi="仿宋_GB2312" w:cs="仿宋_GB2312" w:eastAsia="仿宋_GB2312"/>
          <w:sz w:val="28"/>
          <w:b/>
        </w:rPr>
        <w:t>陕西西咸新区人民法院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陕西西咸新区人民法院</w:t>
      </w:r>
      <w:r>
        <w:rPr>
          <w:rFonts w:ascii="仿宋_GB2312" w:hAnsi="仿宋_GB2312" w:cs="仿宋_GB2312" w:eastAsia="仿宋_GB2312"/>
        </w:rPr>
        <w:t>委托，拟对</w:t>
      </w:r>
      <w:r>
        <w:rPr>
          <w:rFonts w:ascii="仿宋_GB2312" w:hAnsi="仿宋_GB2312" w:cs="仿宋_GB2312" w:eastAsia="仿宋_GB2312"/>
        </w:rPr>
        <w:t>电子卷宗同步生成项目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TZZB-Z-2025057C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电子卷宗同步生成项目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落实《最高人民法院》和《陕西省高级人民法院》关于人民法院档案数字化工作的具体要求，把信息化应用放在优先位置，助力法院电子卷宗随案同步生成信息回填、智能阅卷、文书生成、卷宗调阅等各项深度应用功能奠定坚实基础，为电子卷宗在辅助办案、流程监督、审判监督、优化服务等方面全面推进无纸化办案，优化办案模式、提升司法为民水平，进入“无纸化”办案的新境界。陕西西咸新区人民法院将电子卷宗随案同步生成做到可复制可延伸可同步深度应用；实现无纸化办案的最终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采购包1（陕西西咸新区人民法院电子卷宗同步生成项目）：属于专门面向中小企业采购。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陕西西咸新区人民法院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陕西省西咸新区空港新城俊采大街17号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029-32207033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采购包1：1,304,500.00元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代理服务费缴纳账号：同正项目管理有限公司 开户银行：中国建设银行股份有限公司西安长庆支行 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陕西西咸新区人民法院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陕西西咸新区人民法院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陕西西咸新区人民法院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落实《最高人民法院》和《陕西省高级人民法院》关于人民法院档案数字化工作的具体要求，把信息化应用放在优先位置，助力法院电子卷宗随案同步生成信息回填、智能阅卷、文书生成、卷宗调阅等各项深度应用功能奠定坚实基础，为电子卷宗在辅助办案、流程监督、审判监督、优化服务等方面全面推进无纸化办案，优化办案模式、提升司法为民水平，进入“无纸化”办案的新境界。陕西西咸新区人民法院将电子卷宗随案同步生成做到可复制可延伸可同步深度应用；实现无纸化办案的最终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1,304,500.00</w:t>
      </w:r>
    </w:p>
    <w:p>
      <w:pPr>
        <w:pStyle w:val="null3"/>
      </w:pPr>
      <w:r>
        <w:rPr>
          <w:rFonts w:ascii="仿宋_GB2312" w:hAnsi="仿宋_GB2312" w:cs="仿宋_GB2312" w:eastAsia="仿宋_GB2312"/>
        </w:rPr>
        <w:t>采购包最高限价（元）: 1,304,500.00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电子档案生成管理服务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1,304,500.00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标的名称：电子档案生成管理服务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服务内容：</w:t>
            </w:r>
          </w:p>
          <w:p>
            <w:pPr>
              <w:pStyle w:val="null3"/>
              <w:ind w:firstLine="480"/>
              <w:jc w:val="both"/>
            </w:pPr>
            <w:r>
              <w:rPr>
                <w:rFonts w:ascii="仿宋_GB2312" w:hAnsi="仿宋_GB2312" w:cs="仿宋_GB2312" w:eastAsia="仿宋_GB2312"/>
                <w:sz w:val="24"/>
                <w:color w:val="000000"/>
              </w:rPr>
              <w:t>该项目共包含两个部分：一是针对民商事案件的电子卷宗随案同步生成工作。服务内容主要包含材料收转、卷宗扫描、校核编目、法院文书打印、文书审核校对、卷宗借阅、卷宗存储等工作。二是针对刑事和执行案件的档案数字化工作。对暂不适宜进行电子卷宗随案同步生成的刑事案件和执行案件，在案件办理结束后，对卷宗进行集中数字化加工处理，形成符合档案归档要求的档案资料及电子数据扫描和上传，完成档案数字化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color w:val="000000"/>
              </w:rPr>
              <w:t>（一）电子卷宗随案同步</w:t>
            </w:r>
          </w:p>
          <w:p>
            <w:pPr>
              <w:pStyle w:val="null3"/>
              <w:ind w:firstLine="480"/>
              <w:jc w:val="left"/>
            </w:pPr>
            <w:r>
              <w:rPr>
                <w:rFonts w:ascii="仿宋_GB2312" w:hAnsi="仿宋_GB2312" w:cs="仿宋_GB2312" w:eastAsia="仿宋_GB2312"/>
                <w:sz w:val="24"/>
                <w:color w:val="000000"/>
              </w:rPr>
              <w:t>全流程电子卷宗随案同步内容包括电子卷宗、电子档案、纸质案卷的卷内整理、管理、归档以及审判执行工作中的同步辅助性工作内容。具体工作内容如下：</w:t>
            </w:r>
          </w:p>
          <w:p>
            <w:pPr>
              <w:pStyle w:val="null3"/>
              <w:jc w:val="left"/>
            </w:pPr>
            <w:r>
              <w:rPr>
                <w:rFonts w:ascii="仿宋_GB2312" w:hAnsi="仿宋_GB2312" w:cs="仿宋_GB2312" w:eastAsia="仿宋_GB2312"/>
                <w:sz w:val="24"/>
                <w:color w:val="000000"/>
              </w:rPr>
              <w:t>1.立案回填：包括案件接收阶段的材料整理、系统填报及其他立案辅助性工作；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1）将诉讼材料（起诉书或起诉状）扫描上传至办案系统并通过 OCR 识别进行自动读取，实现收案信息的智能回填工作；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2）辅助案件审核及信息校验；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3）风险审查、识别；</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4）提交立案审批。</w:t>
            </w:r>
          </w:p>
          <w:p>
            <w:pPr>
              <w:pStyle w:val="null3"/>
              <w:jc w:val="left"/>
            </w:pPr>
            <w:r>
              <w:rPr>
                <w:rFonts w:ascii="仿宋_GB2312" w:hAnsi="仿宋_GB2312" w:cs="仿宋_GB2312" w:eastAsia="仿宋_GB2312"/>
                <w:sz w:val="24"/>
                <w:color w:val="000000"/>
              </w:rPr>
              <w:t>2.数字化扫描：包括纸质材料的接卷、整理、质检、扫描、结案上传、装订等内容；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1）接卷：每个阶段的案件材料按时间节点移送至电子卷宗随案生成中心，由双方负责人案件核查、签字确认；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2）整理：排序、编码、打印目录、写卷皮、填写备考表；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3）质检：由电子卷宗随案生成中心负责人针对整理材料进行核准、审查相关工作，保证纸质材料的完整性；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4）扫描：针对案卷材料进行图片的纠偏、去污、拆边、图片旋转等处理，扫描后的原始图像应进行优化处理，使得成品图像清晰、端正；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5）结案上传：在电子档案系统中，根据纸质档案目录编辑电子档案目录，点击批量上传，核对目录条是否与材料内容一一对应；</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6）装订：案件资料应遵循“两对齐”、“三孔一线”的标准并进行封条盖章，完成装订工作。</w:t>
            </w:r>
          </w:p>
          <w:p>
            <w:pPr>
              <w:pStyle w:val="null3"/>
              <w:jc w:val="left"/>
            </w:pPr>
            <w:r>
              <w:rPr>
                <w:rFonts w:ascii="仿宋_GB2312" w:hAnsi="仿宋_GB2312" w:cs="仿宋_GB2312" w:eastAsia="仿宋_GB2312"/>
                <w:sz w:val="24"/>
                <w:color w:val="000000"/>
              </w:rPr>
              <w:t>3.电子卷宗：包括扫描、卷宗上传、质检、系统操作等内容；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1）扫描：将各阶段案卷材料按照时间节点，进行图片的纠偏、去污、拆边、图片旋转等处理，扫描后的原始图像应进行优化处理，使得成品图像清晰、端正；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2）卷宗上传：在电子卷宗系统中，将各阶段案卷材料按照时间节点，归目后完成上传；</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3）质检：核对已上传的电子材料是否与目录条目、名称一一对应，保证材料纸电一致；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4）系统操作：按照电子卷宗随案同步的考核标准，在电子卷宗系统完成各阶段系统挂接工作。</w:t>
            </w:r>
          </w:p>
          <w:p>
            <w:pPr>
              <w:pStyle w:val="null3"/>
              <w:jc w:val="left"/>
            </w:pPr>
            <w:r>
              <w:rPr>
                <w:rFonts w:ascii="仿宋_GB2312" w:hAnsi="仿宋_GB2312" w:cs="仿宋_GB2312" w:eastAsia="仿宋_GB2312"/>
                <w:sz w:val="24"/>
                <w:color w:val="000000"/>
              </w:rPr>
              <w:t>4.案卷工作：包括纸质案卷的卷内材料整理、案卷整理、案卷管理及归档等内容。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1）卷内材料整理：将各阶段材料收集整合，同一案卷材料按照装订厚度要求进行分册，进行排序、编码、打印目录、写卷皮、填写备考表等；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2）案卷整理：对已经装订好的案卷进行贴侧标、盖档案数字章、档案封存章等；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3）案卷管理及归档：对未归档案件纸质案卷管理，符合归档条件的案卷进行系统签收、归档验收，验收通过后，协助入库上架。</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其他审判执行辅助性工作。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一案一码</w:t>
            </w:r>
          </w:p>
          <w:p>
            <w:pPr>
              <w:pStyle w:val="null3"/>
              <w:ind w:firstLine="480"/>
              <w:jc w:val="left"/>
            </w:pPr>
            <w:r>
              <w:rPr>
                <w:rFonts w:ascii="仿宋_GB2312" w:hAnsi="仿宋_GB2312" w:cs="仿宋_GB2312" w:eastAsia="仿宋_GB2312"/>
                <w:sz w:val="24"/>
                <w:color w:val="000000"/>
              </w:rPr>
              <w:t>应当将纸质材料根据民事、行政、执行等案件类别，按照年度、审级、一案一号的原则，单独立卷存放。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借阅管理</w:t>
            </w:r>
          </w:p>
          <w:p>
            <w:pPr>
              <w:pStyle w:val="null3"/>
              <w:ind w:firstLine="480"/>
              <w:jc w:val="left"/>
            </w:pPr>
            <w:r>
              <w:rPr>
                <w:rFonts w:ascii="仿宋_GB2312" w:hAnsi="仿宋_GB2312" w:cs="仿宋_GB2312" w:eastAsia="仿宋_GB2312"/>
                <w:sz w:val="24"/>
                <w:color w:val="000000"/>
              </w:rPr>
              <w:t>在提供案卷借阅服务时，应当及时做好借阅登记工作，收到归还材料时，应当认真检查卷内材料，如发现材料有短缺、涂改、污损等情况的，及时向管理部门报告。保证</w:t>
            </w:r>
            <w:r>
              <w:rPr>
                <w:rFonts w:ascii="仿宋_GB2312" w:hAnsi="仿宋_GB2312" w:cs="仿宋_GB2312" w:eastAsia="仿宋_GB2312"/>
                <w:sz w:val="24"/>
                <w:color w:val="000000"/>
              </w:rPr>
              <w:t>材料齐全、内容完整。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文书审核校对及文书打印</w:t>
            </w:r>
          </w:p>
          <w:p>
            <w:pPr>
              <w:pStyle w:val="null3"/>
              <w:numPr>
                <w:ilvl w:val="0"/>
                <w:numId w:val="1"/>
              </w:numPr>
              <w:jc w:val="left"/>
            </w:pPr>
            <w:r>
              <w:rPr>
                <w:rFonts w:ascii="仿宋_GB2312" w:hAnsi="仿宋_GB2312" w:cs="仿宋_GB2312" w:eastAsia="仿宋_GB2312"/>
                <w:sz w:val="24"/>
                <w:color w:val="000000"/>
              </w:rPr>
              <w:t>按照归档目录对电子卷宗进行初步整理后，依照规定提请法官团队成员确认。收到法官确认的符合立卷归档要求的电子卷宗和纸质卷宗预归档提示后，应按照法官确认的目录、材料顺序对纸质卷宗进行整理，做好归档前的准备工作。</w:t>
            </w:r>
          </w:p>
          <w:p>
            <w:pPr>
              <w:pStyle w:val="null3"/>
              <w:numPr>
                <w:ilvl w:val="0"/>
                <w:numId w:val="1"/>
              </w:numPr>
              <w:jc w:val="left"/>
            </w:pPr>
            <w:r>
              <w:rPr>
                <w:rFonts w:ascii="仿宋_GB2312" w:hAnsi="仿宋_GB2312" w:cs="仿宋_GB2312" w:eastAsia="仿宋_GB2312"/>
                <w:sz w:val="24"/>
                <w:color w:val="000000"/>
              </w:rPr>
              <w:t>最高人民法院于</w:t>
            </w:r>
            <w:r>
              <w:rPr>
                <w:rFonts w:ascii="仿宋_GB2312" w:hAnsi="仿宋_GB2312" w:cs="仿宋_GB2312" w:eastAsia="仿宋_GB2312"/>
                <w:sz w:val="24"/>
                <w:color w:val="000000"/>
              </w:rPr>
              <w:t>2016年7月28日发布《最高人民法院关于全面推进人民法院电子卷宗随案同步生成和深度应用的指导意见》，并按照信息化标准审核。</w:t>
            </w:r>
          </w:p>
          <w:p>
            <w:pPr>
              <w:pStyle w:val="null3"/>
              <w:jc w:val="both"/>
            </w:pPr>
            <w:r>
              <w:rPr>
                <w:rFonts w:ascii="仿宋_GB2312" w:hAnsi="仿宋_GB2312" w:cs="仿宋_GB2312" w:eastAsia="仿宋_GB2312"/>
                <w:sz w:val="24"/>
                <w:color w:val="000000"/>
              </w:rPr>
              <w:t>所有民商事案件在审判过程中所生成的所有法院文书法官团队在审判系统</w:t>
            </w:r>
            <w:r>
              <w:rPr>
                <w:rFonts w:ascii="仿宋_GB2312" w:hAnsi="仿宋_GB2312" w:cs="仿宋_GB2312" w:eastAsia="仿宋_GB2312"/>
                <w:sz w:val="24"/>
                <w:color w:val="000000"/>
              </w:rPr>
              <w:t>-电子卷宗中体现出来，进行审核并按照要求打印。</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装订归档</w:t>
            </w:r>
          </w:p>
          <w:p>
            <w:pPr>
              <w:pStyle w:val="null3"/>
              <w:numPr>
                <w:ilvl w:val="0"/>
                <w:numId w:val="1"/>
              </w:numPr>
              <w:jc w:val="left"/>
            </w:pPr>
            <w:r>
              <w:rPr>
                <w:rFonts w:ascii="仿宋_GB2312" w:hAnsi="仿宋_GB2312" w:cs="仿宋_GB2312" w:eastAsia="仿宋_GB2312"/>
                <w:sz w:val="24"/>
                <w:color w:val="000000"/>
              </w:rPr>
              <w:t>整理的电子卷宗目录及内容，进行整理和装订，并与档案部门完成纸质档案的归档工作。</w:t>
            </w:r>
          </w:p>
          <w:p>
            <w:pPr>
              <w:pStyle w:val="null3"/>
              <w:numPr>
                <w:ilvl w:val="0"/>
                <w:numId w:val="1"/>
              </w:numPr>
              <w:jc w:val="left"/>
            </w:pPr>
            <w:r>
              <w:rPr>
                <w:rFonts w:ascii="仿宋_GB2312" w:hAnsi="仿宋_GB2312" w:cs="仿宋_GB2312" w:eastAsia="仿宋_GB2312"/>
                <w:sz w:val="24"/>
                <w:color w:val="000000"/>
              </w:rPr>
              <w:t>在接收到</w:t>
            </w:r>
            <w:r>
              <w:rPr>
                <w:rFonts w:ascii="仿宋_GB2312" w:hAnsi="仿宋_GB2312" w:cs="仿宋_GB2312" w:eastAsia="仿宋_GB2312"/>
                <w:sz w:val="24"/>
                <w:color w:val="000000"/>
              </w:rPr>
              <w:t>“归档整理”指令后10个工作日内将整理完成的电子档案发送承办法官审核，纸质档案组卷完成移交档案室。</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color w:val="000000"/>
              </w:rPr>
              <w:t>（六）</w:t>
            </w:r>
            <w:r>
              <w:rPr>
                <w:rFonts w:ascii="仿宋_GB2312" w:hAnsi="仿宋_GB2312" w:cs="仿宋_GB2312" w:eastAsia="仿宋_GB2312"/>
                <w:sz w:val="24"/>
                <w:color w:val="000000"/>
              </w:rPr>
              <w:t>即时档案扫描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color w:val="000000"/>
              </w:rPr>
              <w:t>针对已整理好的案卷材料进行图片的纠偏、去污、拆边、图片旋转等处理，扫描后的原始图像应进行优化处理，使得成品图像清晰、端正。</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（七）</w:t>
            </w:r>
            <w:r>
              <w:rPr>
                <w:rFonts w:ascii="仿宋_GB2312" w:hAnsi="仿宋_GB2312" w:cs="仿宋_GB2312" w:eastAsia="仿宋_GB2312"/>
                <w:sz w:val="24"/>
                <w:color w:val="000000"/>
              </w:rPr>
              <w:t>即时档案装订</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对已完成整理扫描的即时</w:t>
            </w:r>
            <w:r>
              <w:rPr>
                <w:rFonts w:ascii="仿宋_GB2312" w:hAnsi="仿宋_GB2312" w:cs="仿宋_GB2312" w:eastAsia="仿宋_GB2312"/>
                <w:sz w:val="24"/>
                <w:color w:val="000000"/>
              </w:rPr>
              <w:t>案件资料应遵循</w:t>
            </w:r>
            <w:r>
              <w:rPr>
                <w:rFonts w:ascii="仿宋_GB2312" w:hAnsi="仿宋_GB2312" w:cs="仿宋_GB2312" w:eastAsia="仿宋_GB2312"/>
                <w:sz w:val="24"/>
                <w:color w:val="000000"/>
              </w:rPr>
              <w:t>“两对齐”、“三孔一线”的标准并进行封条盖章，完成装订工作。</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color w:val="000000"/>
              </w:rPr>
              <w:t>二、最高限价</w:t>
            </w:r>
          </w:p>
          <w:p>
            <w:pPr>
              <w:pStyle w:val="null3"/>
              <w:ind w:firstLine="480"/>
              <w:jc w:val="left"/>
            </w:pPr>
            <w:r>
              <w:rPr>
                <w:rFonts w:ascii="仿宋_GB2312" w:hAnsi="仿宋_GB2312" w:cs="仿宋_GB2312" w:eastAsia="仿宋_GB2312"/>
                <w:sz w:val="24"/>
                <w:color w:val="000000"/>
              </w:rPr>
              <w:t>全院民商案件电子卷宗随案同步生成及刑事、执行案件的档案数字化工作。按照无纸化办案标准，对全院民商事案件的全流程纸质卷宗进行随案同步生成电子卷宗</w:t>
            </w:r>
            <w:r>
              <w:rPr>
                <w:rFonts w:ascii="仿宋_GB2312" w:hAnsi="仿宋_GB2312" w:cs="仿宋_GB2312" w:eastAsia="仿宋_GB2312"/>
                <w:sz w:val="24"/>
                <w:color w:val="000000"/>
              </w:rPr>
              <w:t>;对全院执行、刑事案件结案后的档案材料进行数字化并整卷归档;承担院内临时性各种材料扫描工作。最高限价：1304500.00元。</w:t>
            </w:r>
            <w:r>
              <w:rPr>
                <w:rFonts w:ascii="仿宋_GB2312" w:hAnsi="仿宋_GB2312" w:cs="仿宋_GB2312" w:eastAsia="仿宋_GB2312"/>
                <w:sz w:val="24"/>
                <w:color w:val="000000"/>
              </w:rPr>
              <w:t>最终款项金额：根据实际产生数量乘以单价计算实际费用。</w:t>
            </w:r>
          </w:p>
          <w:p>
            <w:pPr>
              <w:pStyle w:val="null3"/>
              <w:ind w:firstLine="480"/>
              <w:jc w:val="left"/>
            </w:pPr>
            <w:r>
              <w:rPr>
                <w:rFonts w:ascii="仿宋_GB2312" w:hAnsi="仿宋_GB2312" w:cs="仿宋_GB2312" w:eastAsia="仿宋_GB2312"/>
                <w:sz w:val="24"/>
                <w:color w:val="000000"/>
              </w:rPr>
              <w:t>供应商采购包报价高于采购包采购预算的，其响应文件将按无效处理。其中各项工作内容最高限价如下表：</w:t>
            </w:r>
          </w:p>
          <w:tbl>
            <w:tblPr>
              <w:tblInd w:type="dxa" w:w="705"/>
              <w:tblBorders>
                <w:top w:val="none" w:color="000000" w:sz="4"/>
                <w:left w:val="none" w:color="000000" w:sz="4"/>
                <w:bottom w:val="none" w:color="000000" w:sz="4"/>
                <w:right w:val="none" w:color="000000" w:sz="4"/>
                <w:insideH w:val="none"/>
                <w:insideV w:val="none"/>
              </w:tblBorders>
            </w:tblPr>
            <w:tblGrid>
              <w:gridCol w:w="347"/>
              <w:gridCol w:w="595"/>
              <w:gridCol w:w="337"/>
              <w:gridCol w:w="858"/>
              <w:gridCol w:w="416"/>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工作内容</w:t>
                  </w:r>
                </w:p>
              </w:tc>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最高单价限价（元）</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电子卷宗随案同步生成</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案</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70.00</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一案一码</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案</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借阅管理（卷宗借阅、存取）</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案</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文书审核校对文书打印</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案</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装订归档</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案</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即时档案扫描</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页</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0.48</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即时档案装订</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案</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1.加工场地由陕西西咸新区人民法院提供。工作时间与陕西西咸新区人民法院同步。 2.供应商提供的数据格式须符合陕西西咸新区人民法院相关标准要求。 3.质保期：自验收合格之日起 12 个月。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采购人指定地点（加工场地由陕西西咸新区人民法院提供，所需设备由供应商自行准备）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以合同具体要求为准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相关服务工作完成并经甲方验收合格后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以合同具体要求为准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业绩一览表.docx 中小企业声明函 商务要求应答表.docx 报价表 其他材料及供应商认为有必要说明、阐述的事项.docx 响应文件封面 一般资格要求及特殊资格要求.docx 分项报价表.docx 服务内容及要求应答表.docx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业绩一览表.docx 中小企业声明函 商务要求应答表.docx 报价表 其他材料及供应商认为有必要说明、阐述的事项.docx 响应文件封面 一般资格要求及特殊资格要求.docx 分项报价表.docx 服务内容及要求应答表.docx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业绩一览表.docx 中小企业声明函 商务要求应答表.docx 报价表 其他材料及供应商认为有必要说明、阐述的事项.docx 响应文件封面 一般资格要求及特殊资格要求.docx 分项报价表.docx 服务内容及要求应答表.docx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商务要求应答表.docx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业绩一览表.docx 中小企业声明函 商务要求应答表.docx 报价表 其他材料及供应商认为有必要说明、阐述的事项.docx 响应文件封面 一般资格要求及特殊资格要求.docx 分项报价表.docx 服务内容及要求应答表.docx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项目理解与重难点分析</w:t>
            </w:r>
          </w:p>
        </w:tc>
        <w:tc>
          <w:tcPr>
            <w:tcW w:type="dxa" w:w="2492"/>
          </w:tcPr>
          <w:p>
            <w:pPr>
              <w:pStyle w:val="null3"/>
            </w:pPr>
            <w:r>
              <w:rPr>
                <w:rFonts w:ascii="仿宋_GB2312" w:hAnsi="仿宋_GB2312" w:cs="仿宋_GB2312" w:eastAsia="仿宋_GB2312"/>
              </w:rPr>
              <w:t>供应商对本项目的项目理解与重难点分析（包括但不限于本次项目工作的①服务目标、②服务内容、③服务重点、④服务难点）等进行描述。 以上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供应商对本项目的①项目目标、②工作流程、③服务能力、④进度计划表、⑤相应的进度保障措施等进行描述。 以上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针对本项目提供质量保障措施。 1.各阶段目标、流程、措施等科学、合理、可操作性强，得7-10分； 2.目标、流程、措施等比较合理、可操作性较强，得3-7分； 3.目标、流程、措施等基本合理、可操作性一般得1-3分；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与业务系 统及平台 对接方 案、验收 方案</w:t>
            </w:r>
          </w:p>
        </w:tc>
        <w:tc>
          <w:tcPr>
            <w:tcW w:type="dxa" w:w="2492"/>
          </w:tcPr>
          <w:p>
            <w:pPr>
              <w:pStyle w:val="null3"/>
            </w:pPr>
            <w:r>
              <w:rPr>
                <w:rFonts w:ascii="仿宋_GB2312" w:hAnsi="仿宋_GB2312" w:cs="仿宋_GB2312" w:eastAsia="仿宋_GB2312"/>
              </w:rPr>
              <w:t>针对本项目采购内容及实际情况，提供与业务系统及平台对 接方案、验收方案（包括但不限于与陕西省高级人民法院审判系统对接，并支持数据分析报表，定期生成卷宗数据统计报告、卷宗目录数据报表）。 1.对接方案架构完整、层次清晰，进度计划及验收计划科学、 合理、可行性强，并支持数据分析报表、定期生成卷宗数据 统计报告、卷宗目录数据报表功能，得 2-3 分； 2.对接方案架构较完整、层次较清晰，进度计划及验收计划 较科学、合理、可行，并支持数据分析报表、定期生成卷宗数据统计报告、卷宗目录数据报表任意两个功能，得 1-2分； 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设备器械、工具及消耗品配备情况</w:t>
            </w:r>
          </w:p>
        </w:tc>
        <w:tc>
          <w:tcPr>
            <w:tcW w:type="dxa" w:w="2492"/>
          </w:tcPr>
          <w:p>
            <w:pPr>
              <w:pStyle w:val="null3"/>
            </w:pPr>
            <w:r>
              <w:rPr>
                <w:rFonts w:ascii="仿宋_GB2312" w:hAnsi="仿宋_GB2312" w:cs="仿宋_GB2312" w:eastAsia="仿宋_GB2312"/>
              </w:rPr>
              <w:t>根据所配备的设备器械情况综合赋分（0-2分）。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保密、安全保证措施</w:t>
            </w:r>
          </w:p>
        </w:tc>
        <w:tc>
          <w:tcPr>
            <w:tcW w:type="dxa" w:w="2492"/>
          </w:tcPr>
          <w:p>
            <w:pPr>
              <w:pStyle w:val="null3"/>
            </w:pPr>
            <w:r>
              <w:rPr>
                <w:rFonts w:ascii="仿宋_GB2312" w:hAnsi="仿宋_GB2312" w:cs="仿宋_GB2312" w:eastAsia="仿宋_GB2312"/>
              </w:rPr>
              <w:t>针对本项目采购内容及实际情况，提供保密、安全保证措施，包括卷宗实体和卷宗信息保密以及安全保证。 1.措施具体、完整、详细、全面合理，能够满足项目实际需求，得4-6分； 2.措施较具体、完整、详细、全面合理，较满足项目实际需求，得2-4分； 3.措施基本具体、完整、详细、全面合理，基本满足项目实际需求，得1-2分；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拟派项目团队</w:t>
            </w:r>
          </w:p>
        </w:tc>
        <w:tc>
          <w:tcPr>
            <w:tcW w:type="dxa" w:w="2492"/>
          </w:tcPr>
          <w:p>
            <w:pPr>
              <w:pStyle w:val="null3"/>
            </w:pPr>
            <w:r>
              <w:rPr>
                <w:rFonts w:ascii="仿宋_GB2312" w:hAnsi="仿宋_GB2312" w:cs="仿宋_GB2312" w:eastAsia="仿宋_GB2312"/>
              </w:rPr>
              <w:t>供应商对本项目的①项目人员组成及管理方式、②项目服务人员拟派方案、③项目拟派人员岗位分工等进行描述。 以上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拟派项目团队人员具有档案相关培训证书，每提供一个证书得1分，最高得3分；每提供一个国家保密局培训证书得0.5分，最高得2分。 （注：须提供有效期内的证书复印件并加盖供应商公章，否则不得分）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供应商对本项目的人员培训方案（包括但不限于本次项目工作的①培训计划、②培训方法、③培训内容、④岗位技能等进行描述。 以上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供应商对本项目的①售后服务承诺、②售后服务人员、③售后响应时限、④售后服务流程等进行描述。 以上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其他服务承诺及合理化建议</w:t>
            </w:r>
          </w:p>
        </w:tc>
        <w:tc>
          <w:tcPr>
            <w:tcW w:type="dxa" w:w="2492"/>
          </w:tcPr>
          <w:p>
            <w:pPr>
              <w:pStyle w:val="null3"/>
            </w:pPr>
            <w:r>
              <w:rPr>
                <w:rFonts w:ascii="仿宋_GB2312" w:hAnsi="仿宋_GB2312" w:cs="仿宋_GB2312" w:eastAsia="仿宋_GB2312"/>
              </w:rPr>
              <w:t>根据供应商可为采购人提供的其他相关服务内容、服务承诺及合理化建议赋分。 1.服务内容、服务承诺及合理化建议具体详细，与项目匹配度高且可行性高，得3-5分； 2.服务内容、服务承诺及合理化建议较详细，对项目开展有一定实际意义，但存在不完善的地方的，得1-3分；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应急服务 方案</w:t>
            </w:r>
          </w:p>
        </w:tc>
        <w:tc>
          <w:tcPr>
            <w:tcW w:type="dxa" w:w="2492"/>
          </w:tcPr>
          <w:p>
            <w:pPr>
              <w:pStyle w:val="null3"/>
            </w:pPr>
            <w:r>
              <w:rPr>
                <w:rFonts w:ascii="仿宋_GB2312" w:hAnsi="仿宋_GB2312" w:cs="仿宋_GB2312" w:eastAsia="仿宋_GB2312"/>
              </w:rPr>
              <w:t>针对本项目实际情况，在服务过程中可能出现的突发事件，提供详细的应急预案措施和解决方案，包含但不限于受理方法、处理流程、响应时间等内容。 1.方案完整、全面细致、科学合理，能够满足项目实际需求，得3-5分； 2.方案基本完整、全面细致、科学合理，基本能满足项目实际需求，得1-3分；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综合实力1</w:t>
            </w:r>
          </w:p>
        </w:tc>
        <w:tc>
          <w:tcPr>
            <w:tcW w:type="dxa" w:w="2492"/>
          </w:tcPr>
          <w:p>
            <w:pPr>
              <w:pStyle w:val="null3"/>
            </w:pPr>
            <w:r>
              <w:rPr>
                <w:rFonts w:ascii="仿宋_GB2312" w:hAnsi="仿宋_GB2312" w:cs="仿宋_GB2312" w:eastAsia="仿宋_GB2312"/>
              </w:rPr>
              <w:t>1.供应商具有质量体系认证证书，得2分； 2.供应商具有职业健康安全管理体系认证证书，得2分； 3.供应商具有信息安全管理体系认证证书，得2分； 4.供应商具有国家保密局颁发的涉密档案数字化加工的“ 国 家秘密载体印制资质证书 ”，甲级资质得 2 分，乙级资质得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综合实力2</w:t>
            </w:r>
          </w:p>
        </w:tc>
        <w:tc>
          <w:tcPr>
            <w:tcW w:type="dxa" w:w="2492"/>
          </w:tcPr>
          <w:p>
            <w:pPr>
              <w:pStyle w:val="null3"/>
            </w:pPr>
            <w:r>
              <w:rPr>
                <w:rFonts w:ascii="仿宋_GB2312" w:hAnsi="仿宋_GB2312" w:cs="仿宋_GB2312" w:eastAsia="仿宋_GB2312"/>
              </w:rPr>
              <w:t>供应商提供自2022年1月1日起至（以合同签订时间为准）承担过的类似服务项目业绩。每提供1个得2分，最高得6分。（注：须提供合同首页、服务名称、金额页、盖章页的复印件并加盖单位公章， 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价格最低的报价为评审基准价，其价格分为满分。其他供应商的价格分统一按照下列公式计算：磋商报价得分=(评审基准价/最终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