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版本号：SXWZ2025ZB-DWYY-06420250529001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焦磷酸测序仪及配套耗材采购项目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SXWZ2025ZB-DWYY-064</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焦磷酸测序仪及配套耗材采购项目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SXWZ2025ZB-DWYY-064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焦磷酸测序仪及配套耗材采购项目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西安市第五医院焦磷酸测序仪及配套耗材采购项目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2、授权委托书：非法定代表人参加投标的，须提供法定代表人授权委托书及被授权人身份证及近三个月在本单位缴纳社保的证明；法定代表人参加投标时,只须提供法定代表人身份证。</w:t>
      </w:r>
    </w:p>
    <w:p>
      <w:pPr>
        <w:pStyle w:val="null3"/>
      </w:pPr>
      <w:r>
        <w:rPr>
          <w:rFonts w:ascii="仿宋_GB2312" w:hAnsi="仿宋_GB2312" w:cs="仿宋_GB2312" w:eastAsia="仿宋_GB2312"/>
        </w:rPr>
        <w:t>3、社会保障资金缴纳证明：提供2024年05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4、税收缴纳证明：提供2024年05月至今已缴纳的至少三个月的纳税证明或完税证明；依法免税的单位应提供相关证明材料。（以税收所属时期为准）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2023年或2024年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7、特定资质：所投产品纳入医疗器械管理的，投标人的投标产品经营资格应符合国家相关规定并提供相关证明文件（① 投标人为经销商的，提供“医疗器械经营许可证”或“医疗器械经营备案证”。② 投标人为生产商的，提供“医疗器械生产许可证”或“医疗器械生产备案凭证”。③ 提供所投产品（医疗器械）的“医疗器械注册证”或“医疗器械备案证”）</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西安市第五医院 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88621331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 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刘嘉辉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029-88319889-8004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代理服务费收费标准：本项目收取代理服务费 代理服务费用收取对象：中标/成交供应商 代理服务费收费标准：以本采购项目成交价为基数，参照（计价格[2002]1980号）文件规定的下浮20%标准收费(成交金额50万(不含)以下的项目不下浮。)由成交供应商在领取成交通知书时向招标代理机构交纳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西安市第五医院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 刘嘉辉</w:t>
      </w:r>
    </w:p>
    <w:p>
      <w:pPr>
        <w:pStyle w:val="null3"/>
      </w:pPr>
      <w:r>
        <w:rPr>
          <w:rFonts w:ascii="仿宋_GB2312" w:hAnsi="仿宋_GB2312" w:cs="仿宋_GB2312" w:eastAsia="仿宋_GB2312"/>
        </w:rPr>
        <w:t>联系电话：029-88319889-8004</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焦磷酸测序仪及配套耗材采购项目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焦磷酸测序仪及配套耗材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标的名称：焦磷酸测序仪及配套耗材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15"/>
              <w:jc w:val="both"/>
            </w:pPr>
            <w:r>
              <w:rPr>
                <w:rFonts w:ascii="仿宋_GB2312" w:hAnsi="仿宋_GB2312" w:cs="仿宋_GB2312" w:eastAsia="仿宋_GB2312"/>
                <w:sz w:val="24"/>
                <w:b/>
              </w:rPr>
              <w:t>一、商务条款（以此处商务条款为准）</w:t>
            </w:r>
          </w:p>
          <w:p>
            <w:pPr>
              <w:pStyle w:val="null3"/>
              <w:ind w:firstLine="480"/>
              <w:jc w:val="both"/>
            </w:pPr>
            <w:r>
              <w:rPr>
                <w:rFonts w:ascii="仿宋_GB2312" w:hAnsi="仿宋_GB2312" w:cs="仿宋_GB2312" w:eastAsia="仿宋_GB2312"/>
                <w:sz w:val="20"/>
                <w:b/>
              </w:rPr>
              <w:t>设备</w:t>
            </w:r>
            <w:r>
              <w:rPr>
                <w:rFonts w:ascii="仿宋_GB2312" w:hAnsi="仿宋_GB2312" w:cs="仿宋_GB2312" w:eastAsia="仿宋_GB2312"/>
                <w:sz w:val="20"/>
                <w:b/>
              </w:rPr>
              <w:t>：</w:t>
            </w:r>
          </w:p>
          <w:p>
            <w:pPr>
              <w:pStyle w:val="null3"/>
              <w:ind w:firstLine="480"/>
              <w:jc w:val="both"/>
            </w:pPr>
            <w:r>
              <w:rPr>
                <w:rFonts w:ascii="仿宋_GB2312" w:hAnsi="仿宋_GB2312" w:cs="仿宋_GB2312" w:eastAsia="仿宋_GB2312"/>
                <w:sz w:val="20"/>
              </w:rPr>
              <w:t>1、交货期：</w:t>
            </w:r>
            <w:r>
              <w:rPr>
                <w:rFonts w:ascii="仿宋_GB2312" w:hAnsi="仿宋_GB2312" w:cs="仿宋_GB2312" w:eastAsia="仿宋_GB2312"/>
                <w:sz w:val="20"/>
                <w:b/>
              </w:rPr>
              <w:t>焦磷酸测序仪</w:t>
            </w:r>
            <w:r>
              <w:rPr>
                <w:rFonts w:ascii="仿宋_GB2312" w:hAnsi="仿宋_GB2312" w:cs="仿宋_GB2312" w:eastAsia="仿宋_GB2312"/>
                <w:sz w:val="20"/>
                <w:b/>
              </w:rPr>
              <w:t>：</w:t>
            </w:r>
            <w:r>
              <w:rPr>
                <w:rFonts w:ascii="仿宋_GB2312" w:hAnsi="仿宋_GB2312" w:cs="仿宋_GB2312" w:eastAsia="仿宋_GB2312"/>
                <w:sz w:val="20"/>
              </w:rPr>
              <w:t>自合同签订之日起国产产品</w:t>
            </w:r>
            <w:r>
              <w:rPr>
                <w:rFonts w:ascii="仿宋_GB2312" w:hAnsi="仿宋_GB2312" w:cs="仿宋_GB2312" w:eastAsia="仿宋_GB2312"/>
                <w:sz w:val="20"/>
              </w:rPr>
              <w:t>5个工作日完成货物的安装、调试并正常运行。</w:t>
            </w:r>
          </w:p>
          <w:p>
            <w:pPr>
              <w:pStyle w:val="null3"/>
              <w:ind w:firstLine="480"/>
              <w:jc w:val="both"/>
            </w:pPr>
            <w:r>
              <w:rPr>
                <w:rFonts w:ascii="仿宋_GB2312" w:hAnsi="仿宋_GB2312" w:cs="仿宋_GB2312" w:eastAsia="仿宋_GB2312"/>
                <w:sz w:val="20"/>
              </w:rPr>
              <w:t>2</w:t>
            </w:r>
            <w:r>
              <w:rPr>
                <w:rFonts w:ascii="仿宋_GB2312" w:hAnsi="仿宋_GB2312" w:cs="仿宋_GB2312" w:eastAsia="仿宋_GB2312"/>
                <w:sz w:val="20"/>
              </w:rPr>
              <w:t>、质保期：</w:t>
            </w:r>
            <w:r>
              <w:rPr>
                <w:rFonts w:ascii="仿宋_GB2312" w:hAnsi="仿宋_GB2312" w:cs="仿宋_GB2312" w:eastAsia="仿宋_GB2312"/>
                <w:sz w:val="20"/>
                <w:b/>
              </w:rPr>
              <w:t>焦磷酸测序仪</w:t>
            </w:r>
            <w:r>
              <w:rPr>
                <w:rFonts w:ascii="仿宋_GB2312" w:hAnsi="仿宋_GB2312" w:cs="仿宋_GB2312" w:eastAsia="仿宋_GB2312"/>
                <w:sz w:val="20"/>
                <w:b/>
              </w:rPr>
              <w:t>：</w:t>
            </w:r>
            <w:r>
              <w:rPr>
                <w:rFonts w:ascii="仿宋_GB2312" w:hAnsi="仿宋_GB2312" w:cs="仿宋_GB2312" w:eastAsia="仿宋_GB2312"/>
                <w:sz w:val="20"/>
              </w:rPr>
              <w:t>整机质保三年（含第三方设备）</w:t>
            </w:r>
            <w:r>
              <w:rPr>
                <w:rFonts w:ascii="仿宋_GB2312" w:hAnsi="仿宋_GB2312" w:cs="仿宋_GB2312" w:eastAsia="仿宋_GB2312"/>
                <w:sz w:val="20"/>
              </w:rPr>
              <w:t>；</w:t>
            </w:r>
          </w:p>
          <w:p>
            <w:pPr>
              <w:pStyle w:val="null3"/>
              <w:ind w:firstLine="480"/>
              <w:jc w:val="both"/>
            </w:pPr>
            <w:r>
              <w:rPr>
                <w:rFonts w:ascii="仿宋_GB2312" w:hAnsi="仿宋_GB2312" w:cs="仿宋_GB2312" w:eastAsia="仿宋_GB2312"/>
                <w:sz w:val="20"/>
              </w:rPr>
              <w:t>3、接到使用客户维修电话，2小时响应，4小时内工程师到位，</w:t>
            </w:r>
          </w:p>
          <w:p>
            <w:pPr>
              <w:pStyle w:val="null3"/>
              <w:ind w:firstLine="480"/>
              <w:jc w:val="both"/>
            </w:pPr>
            <w:r>
              <w:rPr>
                <w:rFonts w:ascii="仿宋_GB2312" w:hAnsi="仿宋_GB2312" w:cs="仿宋_GB2312" w:eastAsia="仿宋_GB2312"/>
                <w:sz w:val="20"/>
              </w:rPr>
              <w:t>4</w:t>
            </w:r>
            <w:r>
              <w:rPr>
                <w:rFonts w:ascii="仿宋_GB2312" w:hAnsi="仿宋_GB2312" w:cs="仿宋_GB2312" w:eastAsia="仿宋_GB2312"/>
                <w:sz w:val="20"/>
              </w:rPr>
              <w:t>、设备到位后，工程师应立即进行安装、调试，同时对操作人员进行严格的规范化培训；</w:t>
            </w:r>
          </w:p>
          <w:p>
            <w:pPr>
              <w:pStyle w:val="null3"/>
              <w:ind w:firstLine="480"/>
              <w:jc w:val="both"/>
            </w:pPr>
            <w:r>
              <w:rPr>
                <w:rFonts w:ascii="仿宋_GB2312" w:hAnsi="仿宋_GB2312" w:cs="仿宋_GB2312" w:eastAsia="仿宋_GB2312"/>
                <w:sz w:val="20"/>
              </w:rPr>
              <w:t>5</w:t>
            </w:r>
            <w:r>
              <w:rPr>
                <w:rFonts w:ascii="仿宋_GB2312" w:hAnsi="仿宋_GB2312" w:cs="仿宋_GB2312" w:eastAsia="仿宋_GB2312"/>
                <w:sz w:val="20"/>
              </w:rPr>
              <w:t>、提供设备的单位资质齐全，符合国家相关规定；</w:t>
            </w:r>
          </w:p>
          <w:p>
            <w:pPr>
              <w:pStyle w:val="null3"/>
              <w:ind w:right="-315" w:firstLine="416"/>
              <w:jc w:val="both"/>
            </w:pPr>
            <w:r>
              <w:rPr>
                <w:rFonts w:ascii="仿宋_GB2312" w:hAnsi="仿宋_GB2312" w:cs="仿宋_GB2312" w:eastAsia="仿宋_GB2312"/>
                <w:sz w:val="20"/>
              </w:rPr>
              <w:t>6</w:t>
            </w:r>
            <w:r>
              <w:rPr>
                <w:rFonts w:ascii="仿宋_GB2312" w:hAnsi="仿宋_GB2312" w:cs="仿宋_GB2312" w:eastAsia="仿宋_GB2312"/>
                <w:sz w:val="20"/>
              </w:rPr>
              <w:t>、投标产品的规格、型号必须与注册证及相关检验报告上的规格型号一致；</w:t>
            </w:r>
          </w:p>
          <w:p>
            <w:pPr>
              <w:pStyle w:val="null3"/>
              <w:ind w:right="-315" w:firstLine="416"/>
              <w:jc w:val="both"/>
            </w:pPr>
            <w:r>
              <w:rPr>
                <w:rFonts w:ascii="仿宋_GB2312" w:hAnsi="仿宋_GB2312" w:cs="仿宋_GB2312" w:eastAsia="仿宋_GB2312"/>
                <w:sz w:val="20"/>
                <w:color w:val="000000"/>
              </w:rPr>
              <w:t>7、付款方式和结算条件</w:t>
            </w:r>
          </w:p>
          <w:p>
            <w:pPr>
              <w:pStyle w:val="null3"/>
              <w:ind w:right="-315" w:firstLine="416"/>
              <w:jc w:val="both"/>
            </w:pPr>
            <w:r>
              <w:rPr>
                <w:rFonts w:ascii="仿宋_GB2312" w:hAnsi="仿宋_GB2312" w:cs="仿宋_GB2312" w:eastAsia="仿宋_GB2312"/>
                <w:sz w:val="20"/>
                <w:color w:val="000000"/>
              </w:rPr>
              <w:t>款项结算</w:t>
            </w:r>
          </w:p>
          <w:p>
            <w:pPr>
              <w:pStyle w:val="null3"/>
              <w:ind w:firstLine="480"/>
              <w:jc w:val="both"/>
            </w:pPr>
            <w:r>
              <w:rPr>
                <w:rFonts w:ascii="仿宋_GB2312" w:hAnsi="仿宋_GB2312" w:cs="仿宋_GB2312" w:eastAsia="仿宋_GB2312"/>
                <w:sz w:val="20"/>
              </w:rPr>
              <w:t>（一）所有货物到达甲方指定地点，安装、调试完毕并验收合格后，接到甲方通知、乙方出具发票</w:t>
            </w:r>
            <w:r>
              <w:rPr>
                <w:rFonts w:ascii="仿宋_GB2312" w:hAnsi="仿宋_GB2312" w:cs="仿宋_GB2312" w:eastAsia="仿宋_GB2312"/>
                <w:sz w:val="20"/>
              </w:rPr>
              <w:t>10个工作日内支付合同总价款的90％，即人民币（大写）：元整（￥：.00元）。剩余10%满一年后，收到发票10个工作日内支付4%货款即人民币（大写）：元整（￥：元），满两年后，收到发票10个工作日内支付3%货款，即人民币（大写）：元整（￥：元）。满3年后，收到发票10个工作日内支付3%货款，即人民币（大写）：元整（￥：元）。</w:t>
            </w:r>
          </w:p>
          <w:p>
            <w:pPr>
              <w:pStyle w:val="null3"/>
              <w:ind w:right="-315" w:firstLine="416"/>
              <w:jc w:val="both"/>
            </w:pPr>
            <w:r>
              <w:rPr>
                <w:rFonts w:ascii="仿宋_GB2312" w:hAnsi="仿宋_GB2312" w:cs="仿宋_GB2312" w:eastAsia="仿宋_GB2312"/>
                <w:sz w:val="20"/>
                <w:color w:val="000000"/>
              </w:rPr>
              <w:t>（二）付款方式：</w:t>
            </w:r>
          </w:p>
          <w:p>
            <w:pPr>
              <w:pStyle w:val="null3"/>
              <w:ind w:right="-315" w:firstLine="416"/>
              <w:jc w:val="both"/>
            </w:pPr>
            <w:r>
              <w:rPr>
                <w:rFonts w:ascii="仿宋_GB2312" w:hAnsi="仿宋_GB2312" w:cs="仿宋_GB2312" w:eastAsia="仿宋_GB2312"/>
                <w:sz w:val="20"/>
                <w:color w:val="000000"/>
              </w:rPr>
              <w:t>通过银行转账方式将款项转入乙方银行账户。乙方银行账户信息如下：</w:t>
            </w:r>
          </w:p>
          <w:p>
            <w:pPr>
              <w:pStyle w:val="null3"/>
              <w:ind w:right="-315" w:firstLine="416"/>
              <w:jc w:val="both"/>
            </w:pPr>
            <w:r>
              <w:rPr>
                <w:rFonts w:ascii="仿宋_GB2312" w:hAnsi="仿宋_GB2312" w:cs="仿宋_GB2312" w:eastAsia="仿宋_GB2312"/>
                <w:sz w:val="20"/>
                <w:color w:val="000000"/>
              </w:rPr>
              <w:t>账户全称：</w:t>
            </w:r>
          </w:p>
          <w:p>
            <w:pPr>
              <w:pStyle w:val="null3"/>
              <w:ind w:right="-315" w:firstLine="416"/>
              <w:jc w:val="both"/>
            </w:pPr>
            <w:r>
              <w:rPr>
                <w:rFonts w:ascii="仿宋_GB2312" w:hAnsi="仿宋_GB2312" w:cs="仿宋_GB2312" w:eastAsia="仿宋_GB2312"/>
                <w:sz w:val="20"/>
                <w:color w:val="000000"/>
              </w:rPr>
              <w:t>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号：</w:t>
            </w:r>
          </w:p>
          <w:p>
            <w:pPr>
              <w:pStyle w:val="null3"/>
              <w:ind w:right="-315" w:firstLine="416"/>
              <w:jc w:val="both"/>
            </w:pPr>
            <w:r>
              <w:rPr>
                <w:rFonts w:ascii="仿宋_GB2312" w:hAnsi="仿宋_GB2312" w:cs="仿宋_GB2312" w:eastAsia="仿宋_GB2312"/>
                <w:sz w:val="20"/>
                <w:color w:val="000000"/>
              </w:rPr>
              <w:t>开</w:t>
            </w:r>
            <w:r>
              <w:rPr>
                <w:rFonts w:ascii="仿宋_GB2312" w:hAnsi="仿宋_GB2312" w:cs="仿宋_GB2312" w:eastAsia="仿宋_GB2312"/>
                <w:sz w:val="20"/>
                <w:color w:val="000000"/>
              </w:rPr>
              <w:t>户</w:t>
            </w:r>
            <w:r>
              <w:rPr>
                <w:rFonts w:ascii="仿宋_GB2312" w:hAnsi="仿宋_GB2312" w:cs="仿宋_GB2312" w:eastAsia="仿宋_GB2312"/>
                <w:sz w:val="20"/>
                <w:color w:val="000000"/>
              </w:rPr>
              <w:t>行：</w:t>
            </w:r>
          </w:p>
          <w:p>
            <w:pPr>
              <w:pStyle w:val="null3"/>
              <w:ind w:firstLine="480"/>
              <w:jc w:val="both"/>
            </w:pPr>
            <w:r>
              <w:rPr>
                <w:rFonts w:ascii="仿宋_GB2312" w:hAnsi="仿宋_GB2312" w:cs="仿宋_GB2312" w:eastAsia="仿宋_GB2312"/>
                <w:sz w:val="20"/>
              </w:rPr>
              <w:t>甲方仅认可上述指定账户并向该账户付款。否则甲方有权拒绝向指定账户之外的任何账户付款，并且由此导致的付款延迟责任由乙方承担。</w:t>
            </w:r>
          </w:p>
          <w:p>
            <w:pPr>
              <w:pStyle w:val="null3"/>
              <w:ind w:firstLine="480"/>
              <w:jc w:val="both"/>
            </w:pPr>
            <w:r>
              <w:rPr>
                <w:rFonts w:ascii="仿宋_GB2312" w:hAnsi="仿宋_GB2312" w:cs="仿宋_GB2312" w:eastAsia="仿宋_GB2312"/>
                <w:sz w:val="20"/>
              </w:rPr>
              <w:t>乙方要如实开具发票，不得变更开票内容，乙方开具发票出现税务争议时，乙方需承担税款、滞纳金、罚款等赔偿责任以及其他相关责任。</w:t>
            </w:r>
          </w:p>
          <w:p>
            <w:pPr>
              <w:pStyle w:val="null3"/>
              <w:ind w:firstLine="480"/>
              <w:jc w:val="both"/>
            </w:pPr>
            <w:r>
              <w:rPr>
                <w:rFonts w:ascii="仿宋_GB2312" w:hAnsi="仿宋_GB2312" w:cs="仿宋_GB2312" w:eastAsia="仿宋_GB2312"/>
                <w:sz w:val="24"/>
                <w:b/>
                <w:color w:val="000000"/>
              </w:rPr>
              <w:t>试剂耗材：</w:t>
            </w:r>
          </w:p>
          <w:p>
            <w:pPr>
              <w:pStyle w:val="null3"/>
              <w:ind w:firstLine="480"/>
              <w:jc w:val="both"/>
            </w:pPr>
            <w:r>
              <w:rPr>
                <w:rFonts w:ascii="仿宋_GB2312" w:hAnsi="仿宋_GB2312" w:cs="仿宋_GB2312" w:eastAsia="仿宋_GB2312"/>
                <w:sz w:val="20"/>
              </w:rPr>
              <w:t>1、交货期：72小时。乙方接到甲方订货通知72小时内负责将货物运送至甲方指定的地点，由甲方负责按照相关标准进行验收，乙方在运送过程中所产生的一切费用由乙方负责承担。</w:t>
            </w:r>
          </w:p>
          <w:p>
            <w:pPr>
              <w:pStyle w:val="null3"/>
              <w:ind w:firstLine="480"/>
              <w:jc w:val="both"/>
            </w:pPr>
            <w:r>
              <w:rPr>
                <w:rFonts w:ascii="仿宋_GB2312" w:hAnsi="仿宋_GB2312" w:cs="仿宋_GB2312" w:eastAsia="仿宋_GB2312"/>
                <w:sz w:val="20"/>
              </w:rPr>
              <w:t>2、供货期：合同有效期为一年，在合同有效期内，如果甲方按照合同项采购货物，当采购金额达预算金额后，合同自动终止。</w:t>
            </w:r>
          </w:p>
          <w:p>
            <w:pPr>
              <w:pStyle w:val="null3"/>
              <w:ind w:firstLine="480"/>
              <w:jc w:val="both"/>
            </w:pPr>
            <w:r>
              <w:rPr>
                <w:rFonts w:ascii="仿宋_GB2312" w:hAnsi="仿宋_GB2312" w:cs="仿宋_GB2312" w:eastAsia="仿宋_GB2312"/>
                <w:sz w:val="20"/>
              </w:rPr>
              <w:t>3、质保期：乙方配送的耗材日期距离其出厂日期不得超过该耗材有效期的三分之一时间段。如过该耗材有效期超过三分之一时间段，甲方有权拒收或选择退货，由此造成</w:t>
            </w:r>
          </w:p>
          <w:p>
            <w:pPr>
              <w:pStyle w:val="null3"/>
              <w:ind w:firstLine="480"/>
              <w:jc w:val="both"/>
            </w:pPr>
            <w:r>
              <w:rPr>
                <w:rFonts w:ascii="仿宋_GB2312" w:hAnsi="仿宋_GB2312" w:cs="仿宋_GB2312" w:eastAsia="仿宋_GB2312"/>
                <w:sz w:val="20"/>
              </w:rPr>
              <w:t>的损失由乙方承担。</w:t>
            </w:r>
          </w:p>
          <w:p>
            <w:pPr>
              <w:pStyle w:val="null3"/>
              <w:ind w:right="-315" w:firstLine="416"/>
              <w:jc w:val="both"/>
            </w:pPr>
            <w:r>
              <w:rPr>
                <w:rFonts w:ascii="仿宋_GB2312" w:hAnsi="仿宋_GB2312" w:cs="仿宋_GB2312" w:eastAsia="仿宋_GB2312"/>
                <w:sz w:val="20"/>
                <w:color w:val="000000"/>
              </w:rPr>
              <w:t>4、付款方式和结算条件</w:t>
            </w:r>
          </w:p>
          <w:p>
            <w:pPr>
              <w:pStyle w:val="null3"/>
              <w:ind w:right="-315" w:firstLine="416"/>
              <w:jc w:val="both"/>
            </w:pPr>
            <w:r>
              <w:rPr>
                <w:rFonts w:ascii="仿宋_GB2312" w:hAnsi="仿宋_GB2312" w:cs="仿宋_GB2312" w:eastAsia="仿宋_GB2312"/>
                <w:sz w:val="20"/>
                <w:color w:val="000000"/>
              </w:rPr>
              <w:t>4-1、付款方式</w:t>
            </w:r>
          </w:p>
          <w:p>
            <w:pPr>
              <w:pStyle w:val="null3"/>
              <w:ind w:right="-315" w:firstLine="416"/>
              <w:jc w:val="both"/>
            </w:pPr>
            <w:r>
              <w:rPr>
                <w:rFonts w:ascii="仿宋_GB2312" w:hAnsi="仿宋_GB2312" w:cs="仿宋_GB2312" w:eastAsia="仿宋_GB2312"/>
                <w:sz w:val="20"/>
                <w:color w:val="000000"/>
              </w:rPr>
              <w:t>通过银行转账方式将款项转入乙方银行账户。乙方银行账户信息如下：</w:t>
            </w:r>
          </w:p>
          <w:p>
            <w:pPr>
              <w:pStyle w:val="null3"/>
              <w:ind w:right="-315" w:firstLine="416"/>
              <w:jc w:val="both"/>
            </w:pPr>
            <w:r>
              <w:rPr>
                <w:rFonts w:ascii="仿宋_GB2312" w:hAnsi="仿宋_GB2312" w:cs="仿宋_GB2312" w:eastAsia="仿宋_GB2312"/>
                <w:sz w:val="20"/>
                <w:color w:val="000000"/>
              </w:rPr>
              <w:t>账户全称：</w:t>
            </w:r>
            <w:r>
              <w:rPr>
                <w:rFonts w:ascii="仿宋_GB2312" w:hAnsi="仿宋_GB2312" w:cs="仿宋_GB2312" w:eastAsia="仿宋_GB2312"/>
                <w:sz w:val="20"/>
                <w:color w:val="000000"/>
              </w:rPr>
              <w:t xml:space="preserve">                                   </w:t>
            </w:r>
          </w:p>
          <w:p>
            <w:pPr>
              <w:pStyle w:val="null3"/>
              <w:ind w:right="-315" w:firstLine="416"/>
              <w:jc w:val="both"/>
            </w:pPr>
            <w:r>
              <w:rPr>
                <w:rFonts w:ascii="仿宋_GB2312" w:hAnsi="仿宋_GB2312" w:cs="仿宋_GB2312" w:eastAsia="仿宋_GB2312"/>
                <w:sz w:val="20"/>
                <w:color w:val="000000"/>
              </w:rPr>
              <w:t>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号：</w:t>
            </w:r>
            <w:r>
              <w:rPr>
                <w:rFonts w:ascii="仿宋_GB2312" w:hAnsi="仿宋_GB2312" w:cs="仿宋_GB2312" w:eastAsia="仿宋_GB2312"/>
                <w:sz w:val="20"/>
                <w:color w:val="000000"/>
              </w:rPr>
              <w:t xml:space="preserve">                                   </w:t>
            </w:r>
          </w:p>
          <w:p>
            <w:pPr>
              <w:pStyle w:val="null3"/>
              <w:ind w:right="-315" w:firstLine="416"/>
              <w:jc w:val="both"/>
            </w:pPr>
            <w:r>
              <w:rPr>
                <w:rFonts w:ascii="仿宋_GB2312" w:hAnsi="仿宋_GB2312" w:cs="仿宋_GB2312" w:eastAsia="仿宋_GB2312"/>
                <w:sz w:val="20"/>
                <w:color w:val="000000"/>
              </w:rPr>
              <w:t>开</w:t>
            </w:r>
            <w:r>
              <w:rPr>
                <w:rFonts w:ascii="仿宋_GB2312" w:hAnsi="仿宋_GB2312" w:cs="仿宋_GB2312" w:eastAsia="仿宋_GB2312"/>
                <w:sz w:val="20"/>
                <w:color w:val="000000"/>
              </w:rPr>
              <w:t>户</w:t>
            </w:r>
            <w:r>
              <w:rPr>
                <w:rFonts w:ascii="仿宋_GB2312" w:hAnsi="仿宋_GB2312" w:cs="仿宋_GB2312" w:eastAsia="仿宋_GB2312"/>
                <w:sz w:val="20"/>
                <w:color w:val="000000"/>
              </w:rPr>
              <w:t>行：</w:t>
            </w:r>
            <w:r>
              <w:rPr>
                <w:rFonts w:ascii="仿宋_GB2312" w:hAnsi="仿宋_GB2312" w:cs="仿宋_GB2312" w:eastAsia="仿宋_GB2312"/>
                <w:sz w:val="20"/>
                <w:color w:val="000000"/>
              </w:rPr>
              <w:t xml:space="preserve">                                   </w:t>
            </w:r>
          </w:p>
          <w:p>
            <w:pPr>
              <w:pStyle w:val="null3"/>
              <w:ind w:firstLine="480"/>
              <w:jc w:val="both"/>
            </w:pPr>
            <w:r>
              <w:rPr>
                <w:rFonts w:ascii="仿宋_GB2312" w:hAnsi="仿宋_GB2312" w:cs="仿宋_GB2312" w:eastAsia="仿宋_GB2312"/>
                <w:sz w:val="20"/>
              </w:rPr>
              <w:t>甲方仅认可上述指定账户并向该账户付款，甲方有权拒绝向指定账户之外的任何账户付款，并且由此导致的付款延迟责任由乙方承担。</w:t>
            </w:r>
          </w:p>
          <w:p>
            <w:pPr>
              <w:pStyle w:val="null3"/>
              <w:ind w:firstLine="480"/>
              <w:jc w:val="both"/>
            </w:pPr>
            <w:r>
              <w:rPr>
                <w:rFonts w:ascii="仿宋_GB2312" w:hAnsi="仿宋_GB2312" w:cs="仿宋_GB2312" w:eastAsia="仿宋_GB2312"/>
                <w:sz w:val="20"/>
              </w:rPr>
              <w:t>乙方要如实开具发票，不得变更开票内容，乙方开具发票出现税务争议时，乙方需承担税款、滞纳金、罚款等赔偿责任以及其他相关责任。</w:t>
            </w:r>
          </w:p>
          <w:p>
            <w:pPr>
              <w:pStyle w:val="null3"/>
              <w:ind w:firstLine="480"/>
              <w:jc w:val="both"/>
            </w:pPr>
            <w:r>
              <w:rPr>
                <w:rFonts w:ascii="仿宋_GB2312" w:hAnsi="仿宋_GB2312" w:cs="仿宋_GB2312" w:eastAsia="仿宋_GB2312"/>
                <w:sz w:val="20"/>
              </w:rPr>
              <w:t>4-2、结算条件</w:t>
            </w:r>
          </w:p>
          <w:p>
            <w:pPr>
              <w:pStyle w:val="null3"/>
              <w:ind w:firstLine="480"/>
              <w:jc w:val="both"/>
            </w:pPr>
            <w:r>
              <w:rPr>
                <w:rFonts w:ascii="仿宋_GB2312" w:hAnsi="仿宋_GB2312" w:cs="仿宋_GB2312" w:eastAsia="仿宋_GB2312"/>
                <w:sz w:val="20"/>
              </w:rPr>
              <w:t>交货验收入库时，乙方向甲方开具正规发票，并提供所供货品的进货发票，进货发票金额不得遮盖，确保</w:t>
            </w:r>
            <w:r>
              <w:rPr>
                <w:rFonts w:ascii="仿宋_GB2312" w:hAnsi="仿宋_GB2312" w:cs="仿宋_GB2312" w:eastAsia="仿宋_GB2312"/>
                <w:sz w:val="20"/>
              </w:rPr>
              <w:t>“两票制”，乙方要如实开具发票，不得变更开票内容，乙方开具发票出现税务争议时，乙方需承担税款、滞纳金、罚款等赔偿责任以及其他相关责任，6个月后甲方向乙方据实结算转账支付货款。</w:t>
            </w:r>
          </w:p>
          <w:p>
            <w:pPr>
              <w:pStyle w:val="null3"/>
              <w:ind w:right="-315"/>
              <w:jc w:val="both"/>
            </w:pPr>
            <w:r>
              <w:rPr>
                <w:rFonts w:ascii="仿宋_GB2312" w:hAnsi="仿宋_GB2312" w:cs="仿宋_GB2312" w:eastAsia="仿宋_GB2312"/>
                <w:sz w:val="24"/>
                <w:b/>
              </w:rPr>
              <w:t>二、采购要求</w:t>
            </w:r>
            <w:r>
              <w:rPr>
                <w:rFonts w:ascii="仿宋_GB2312" w:hAnsi="仿宋_GB2312" w:cs="仿宋_GB2312" w:eastAsia="仿宋_GB2312"/>
                <w:sz w:val="24"/>
                <w:b/>
              </w:rPr>
              <w:t>清单</w:t>
            </w:r>
          </w:p>
          <w:tbl>
            <w:tblPr>
              <w:tblInd w:type="dxa" w:w="120"/>
              <w:tblBorders>
                <w:top w:val="none" w:color="000000" w:sz="4"/>
                <w:left w:val="none" w:color="000000" w:sz="4"/>
                <w:bottom w:val="none" w:color="000000" w:sz="4"/>
                <w:right w:val="none" w:color="000000" w:sz="4"/>
                <w:insideH w:val="none"/>
                <w:insideV w:val="none"/>
              </w:tblBorders>
            </w:tblPr>
            <w:tblGrid>
              <w:gridCol w:w="304"/>
              <w:gridCol w:w="1403"/>
              <w:gridCol w:w="304"/>
              <w:gridCol w:w="529"/>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1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设备名称</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数量</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预算金额</w:t>
                  </w:r>
                  <w:r>
                    <w:rPr>
                      <w:rFonts w:ascii="仿宋_GB2312" w:hAnsi="仿宋_GB2312" w:cs="仿宋_GB2312" w:eastAsia="仿宋_GB2312"/>
                      <w:sz w:val="21"/>
                      <w:color w:val="000000"/>
                    </w:rPr>
                    <w:t>（元）</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焦磷酸测序仪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380</w:t>
                  </w:r>
                  <w:r>
                    <w:rPr>
                      <w:rFonts w:ascii="仿宋_GB2312" w:hAnsi="仿宋_GB2312" w:cs="仿宋_GB2312" w:eastAsia="仿宋_GB2312"/>
                      <w:sz w:val="21"/>
                      <w:color w:val="000000"/>
                    </w:rPr>
                    <w:t>000.00</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焦磷酸测序仪配套试剂耗材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1批</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250000.00</w:t>
                  </w:r>
                </w:p>
              </w:tc>
            </w:tr>
            <w:tr>
              <w:tc>
                <w:tcPr>
                  <w:tcW w:type="dxa" w:w="25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采购预算合计：</w:t>
                  </w:r>
                  <w:r>
                    <w:rPr>
                      <w:rFonts w:ascii="仿宋_GB2312" w:hAnsi="仿宋_GB2312" w:cs="仿宋_GB2312" w:eastAsia="仿宋_GB2312"/>
                      <w:sz w:val="21"/>
                      <w:color w:val="000000"/>
                    </w:rPr>
                    <w:t>630000.00元</w:t>
                  </w:r>
                </w:p>
              </w:tc>
            </w:tr>
          </w:tbl>
          <w:p>
            <w:pPr>
              <w:pStyle w:val="null3"/>
              <w:jc w:val="both"/>
            </w:pPr>
            <w:r>
              <w:rPr>
                <w:rFonts w:ascii="仿宋_GB2312" w:hAnsi="仿宋_GB2312" w:cs="仿宋_GB2312" w:eastAsia="仿宋_GB2312"/>
                <w:sz w:val="27"/>
                <w:b/>
              </w:rPr>
              <w:t>三、焦磷酸测序仪</w:t>
            </w:r>
            <w:r>
              <w:rPr>
                <w:rFonts w:ascii="仿宋_GB2312" w:hAnsi="仿宋_GB2312" w:cs="仿宋_GB2312" w:eastAsia="仿宋_GB2312"/>
                <w:sz w:val="27"/>
                <w:b/>
              </w:rPr>
              <w:t>技术参数</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）焦磷酸测序仪</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.样本处理范围：上机一次处理项目≥8项；样本孔位≥15个；配套试剂检测位点数</w:t>
            </w:r>
            <w:r>
              <w:rPr>
                <w:rFonts w:ascii="仿宋_GB2312" w:hAnsi="仿宋_GB2312" w:cs="仿宋_GB2312" w:eastAsia="仿宋_GB2312"/>
                <w:sz w:val="24"/>
              </w:rPr>
              <w:t>≥</w:t>
            </w:r>
            <w:r>
              <w:rPr>
                <w:rFonts w:ascii="仿宋_GB2312" w:hAnsi="仿宋_GB2312" w:cs="仿宋_GB2312" w:eastAsia="仿宋_GB2312"/>
                <w:sz w:val="24"/>
              </w:rPr>
              <w:t>50个。</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 样本处理：一批次检测≤30分钟，孔位≥15</w:t>
            </w:r>
            <w:r>
              <w:rPr>
                <w:rFonts w:ascii="仿宋_GB2312" w:hAnsi="仿宋_GB2312" w:cs="仿宋_GB2312" w:eastAsia="仿宋_GB2312"/>
                <w:sz w:val="24"/>
              </w:rPr>
              <w:t>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.灵敏度：可检出突变型占比≤</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.操作软件：开放平台；</w:t>
            </w:r>
            <w:r>
              <w:rPr>
                <w:rFonts w:ascii="仿宋_GB2312" w:hAnsi="仿宋_GB2312" w:cs="仿宋_GB2312" w:eastAsia="仿宋_GB2312"/>
                <w:sz w:val="24"/>
              </w:rPr>
              <w:t>具有</w:t>
            </w:r>
            <w:r>
              <w:rPr>
                <w:rFonts w:ascii="仿宋_GB2312" w:hAnsi="仿宋_GB2312" w:cs="仿宋_GB2312" w:eastAsia="仿宋_GB2312"/>
                <w:sz w:val="24"/>
              </w:rPr>
              <w:t>自定软件分析功能。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.性能参数：</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.1 重复性：标准差SD≤10%。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.2 偏倚：同样本测量均值，与理论值的绝对偏差（偏倚）应≤10%。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.3 孔位间均一性：同样本CV≤10%。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.4 基线波动：在不加试剂的情况下运行程序，每个通道基线波动≤10。</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提示</w:t>
            </w:r>
            <w:r>
              <w:rPr>
                <w:rFonts w:ascii="仿宋_GB2312" w:hAnsi="仿宋_GB2312" w:cs="仿宋_GB2312" w:eastAsia="仿宋_GB2312"/>
                <w:sz w:val="24"/>
              </w:rPr>
              <w:t>功能：具备通信连接</w:t>
            </w:r>
            <w:r>
              <w:rPr>
                <w:rFonts w:ascii="仿宋_GB2312" w:hAnsi="仿宋_GB2312" w:cs="仿宋_GB2312" w:eastAsia="仿宋_GB2312"/>
                <w:sz w:val="24"/>
              </w:rPr>
              <w:t>提示</w:t>
            </w:r>
            <w:r>
              <w:rPr>
                <w:rFonts w:ascii="仿宋_GB2312" w:hAnsi="仿宋_GB2312" w:cs="仿宋_GB2312" w:eastAsia="仿宋_GB2312"/>
                <w:sz w:val="24"/>
              </w:rPr>
              <w:t>；相机连接</w:t>
            </w:r>
            <w:r>
              <w:rPr>
                <w:rFonts w:ascii="仿宋_GB2312" w:hAnsi="仿宋_GB2312" w:cs="仿宋_GB2312" w:eastAsia="仿宋_GB2312"/>
                <w:sz w:val="24"/>
              </w:rPr>
              <w:t>提示</w:t>
            </w:r>
            <w:r>
              <w:rPr>
                <w:rFonts w:ascii="仿宋_GB2312" w:hAnsi="仿宋_GB2312" w:cs="仿宋_GB2312" w:eastAsia="仿宋_GB2312"/>
                <w:sz w:val="24"/>
              </w:rPr>
              <w:t>；实验开始提示；实验结果提示；通电状态灯提示等。</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.主机功能模块：具有进出仓；左右运行；加样；清洗；检测；数据采集等模块。</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配置要求：</w:t>
            </w:r>
          </w:p>
          <w:p>
            <w:pPr>
              <w:pStyle w:val="null3"/>
              <w:jc w:val="both"/>
            </w:pPr>
            <w:r>
              <w:rPr>
                <w:rFonts w:ascii="仿宋_GB2312" w:hAnsi="仿宋_GB2312" w:cs="仿宋_GB2312" w:eastAsia="仿宋_GB2312"/>
                <w:sz w:val="24"/>
              </w:rPr>
              <w:t>8.1提供</w:t>
            </w:r>
            <w:r>
              <w:rPr>
                <w:rFonts w:ascii="仿宋_GB2312" w:hAnsi="仿宋_GB2312" w:cs="仿宋_GB2312" w:eastAsia="仿宋_GB2312"/>
                <w:sz w:val="24"/>
              </w:rPr>
              <w:t>签发报告</w:t>
            </w:r>
            <w:r>
              <w:rPr>
                <w:rFonts w:ascii="仿宋_GB2312" w:hAnsi="仿宋_GB2312" w:cs="仿宋_GB2312" w:eastAsia="仿宋_GB2312"/>
                <w:sz w:val="24"/>
              </w:rPr>
              <w:t>终端</w:t>
            </w:r>
            <w:r>
              <w:rPr>
                <w:rFonts w:ascii="仿宋_GB2312" w:hAnsi="仿宋_GB2312" w:cs="仿宋_GB2312" w:eastAsia="仿宋_GB2312"/>
                <w:sz w:val="24"/>
              </w:rPr>
              <w:t>1台： win7旗舰版/win10专业版、</w:t>
            </w:r>
            <w:r>
              <w:rPr>
                <w:rFonts w:ascii="仿宋_GB2312" w:hAnsi="仿宋_GB2312" w:cs="仿宋_GB2312" w:eastAsia="仿宋_GB2312"/>
                <w:sz w:val="24"/>
              </w:rPr>
              <w:t>≥</w:t>
            </w:r>
            <w:r>
              <w:rPr>
                <w:rFonts w:ascii="仿宋_GB2312" w:hAnsi="仿宋_GB2312" w:cs="仿宋_GB2312" w:eastAsia="仿宋_GB2312"/>
                <w:sz w:val="24"/>
              </w:rPr>
              <w:t>8G内存、</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1T、CPU i5</w:t>
            </w:r>
            <w:r>
              <w:rPr>
                <w:rFonts w:ascii="仿宋_GB2312" w:hAnsi="仿宋_GB2312" w:cs="仿宋_GB2312" w:eastAsia="仿宋_GB2312"/>
                <w:sz w:val="24"/>
              </w:rPr>
              <w:t>及</w:t>
            </w:r>
            <w:r>
              <w:rPr>
                <w:rFonts w:ascii="仿宋_GB2312" w:hAnsi="仿宋_GB2312" w:cs="仿宋_GB2312" w:eastAsia="仿宋_GB2312"/>
                <w:sz w:val="24"/>
              </w:rPr>
              <w:t>以上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8.2</w:t>
            </w:r>
            <w:r>
              <w:rPr>
                <w:rFonts w:ascii="仿宋_GB2312" w:hAnsi="仿宋_GB2312" w:cs="仿宋_GB2312" w:eastAsia="仿宋_GB2312"/>
                <w:sz w:val="24"/>
              </w:rPr>
              <w:t xml:space="preserve">. </w:t>
            </w:r>
            <w:r>
              <w:rPr>
                <w:rFonts w:ascii="仿宋_GB2312" w:hAnsi="仿宋_GB2312" w:cs="仿宋_GB2312" w:eastAsia="仿宋_GB2312"/>
                <w:sz w:val="24"/>
              </w:rPr>
              <w:t>配套</w:t>
            </w:r>
            <w:r>
              <w:rPr>
                <w:rFonts w:ascii="仿宋_GB2312" w:hAnsi="仿宋_GB2312" w:cs="仿宋_GB2312" w:eastAsia="仿宋_GB2312"/>
                <w:sz w:val="24"/>
              </w:rPr>
              <w:t>UPS 1部：保证断电后设备</w:t>
            </w:r>
            <w:r>
              <w:rPr>
                <w:rFonts w:ascii="仿宋_GB2312" w:hAnsi="仿宋_GB2312" w:cs="仿宋_GB2312" w:eastAsia="仿宋_GB2312"/>
                <w:sz w:val="24"/>
              </w:rPr>
              <w:t>运行</w:t>
            </w:r>
            <w:r>
              <w:rPr>
                <w:rFonts w:ascii="仿宋_GB2312" w:hAnsi="仿宋_GB2312" w:cs="仿宋_GB2312" w:eastAsia="仿宋_GB2312"/>
                <w:sz w:val="24"/>
              </w:rPr>
              <w:t>≥1h。</w:t>
            </w:r>
          </w:p>
          <w:p>
            <w:pPr>
              <w:pStyle w:val="null3"/>
              <w:jc w:val="both"/>
            </w:pPr>
            <w:r>
              <w:rPr>
                <w:rFonts w:ascii="仿宋_GB2312" w:hAnsi="仿宋_GB2312" w:cs="仿宋_GB2312" w:eastAsia="仿宋_GB2312"/>
                <w:sz w:val="24"/>
              </w:rPr>
              <w:t>（二）质保期内</w:t>
            </w:r>
            <w:r>
              <w:rPr>
                <w:rFonts w:ascii="仿宋_GB2312" w:hAnsi="仿宋_GB2312" w:cs="仿宋_GB2312" w:eastAsia="仿宋_GB2312"/>
                <w:sz w:val="24"/>
              </w:rPr>
              <w:t>保证设备及配</w:t>
            </w:r>
            <w:r>
              <w:rPr>
                <w:rFonts w:ascii="仿宋_GB2312" w:hAnsi="仿宋_GB2312" w:cs="仿宋_GB2312" w:eastAsia="仿宋_GB2312"/>
                <w:sz w:val="24"/>
              </w:rPr>
              <w:t>套</w:t>
            </w:r>
            <w:r>
              <w:rPr>
                <w:rFonts w:ascii="仿宋_GB2312" w:hAnsi="仿宋_GB2312" w:cs="仿宋_GB2312" w:eastAsia="仿宋_GB2312"/>
                <w:sz w:val="24"/>
              </w:rPr>
              <w:t>设备（冰箱、移液器等）正常运转，并</w:t>
            </w:r>
            <w:r>
              <w:rPr>
                <w:rFonts w:ascii="仿宋_GB2312" w:hAnsi="仿宋_GB2312" w:cs="仿宋_GB2312" w:eastAsia="仿宋_GB2312"/>
                <w:sz w:val="24"/>
              </w:rPr>
              <w:t>负责</w:t>
            </w:r>
            <w:r>
              <w:rPr>
                <w:rFonts w:ascii="仿宋_GB2312" w:hAnsi="仿宋_GB2312" w:cs="仿宋_GB2312" w:eastAsia="仿宋_GB2312"/>
                <w:sz w:val="24"/>
              </w:rPr>
              <w:t>提供定期校准（至少每年</w:t>
            </w:r>
            <w:r>
              <w:rPr>
                <w:rFonts w:ascii="仿宋_GB2312" w:hAnsi="仿宋_GB2312" w:cs="仿宋_GB2312" w:eastAsia="仿宋_GB2312"/>
                <w:sz w:val="24"/>
              </w:rPr>
              <w:t>2次）</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1"/>
              </w:rPr>
              <w:t>★</w:t>
            </w:r>
            <w:r>
              <w:rPr>
                <w:rFonts w:ascii="仿宋_GB2312" w:hAnsi="仿宋_GB2312" w:cs="仿宋_GB2312" w:eastAsia="仿宋_GB2312"/>
                <w:sz w:val="24"/>
              </w:rPr>
              <w:t>其它配置：</w:t>
            </w:r>
            <w:r>
              <w:rPr>
                <w:rFonts w:ascii="仿宋_GB2312" w:hAnsi="仿宋_GB2312" w:cs="仿宋_GB2312" w:eastAsia="仿宋_GB2312"/>
                <w:sz w:val="24"/>
              </w:rPr>
              <w:t>负责</w:t>
            </w:r>
            <w:r>
              <w:rPr>
                <w:rFonts w:ascii="仿宋_GB2312" w:hAnsi="仿宋_GB2312" w:cs="仿宋_GB2312" w:eastAsia="仿宋_GB2312"/>
                <w:sz w:val="24"/>
              </w:rPr>
              <w:t>与医院信息系统连接功能</w:t>
            </w:r>
            <w:r>
              <w:rPr>
                <w:rFonts w:ascii="仿宋_GB2312" w:hAnsi="仿宋_GB2312" w:cs="仿宋_GB2312" w:eastAsia="仿宋_GB2312"/>
                <w:sz w:val="24"/>
              </w:rPr>
              <w:t>，</w:t>
            </w:r>
            <w:r>
              <w:rPr>
                <w:rFonts w:ascii="仿宋_GB2312" w:hAnsi="仿宋_GB2312" w:cs="仿宋_GB2312" w:eastAsia="仿宋_GB2312"/>
                <w:sz w:val="24"/>
              </w:rPr>
              <w:t>承担</w:t>
            </w:r>
            <w:r>
              <w:rPr>
                <w:rFonts w:ascii="仿宋_GB2312" w:hAnsi="仿宋_GB2312" w:cs="仿宋_GB2312" w:eastAsia="仿宋_GB2312"/>
                <w:sz w:val="24"/>
              </w:rPr>
              <w:t>Lis接口的费用。</w:t>
            </w:r>
          </w:p>
          <w:p>
            <w:pPr>
              <w:pStyle w:val="null3"/>
              <w:jc w:val="both"/>
            </w:pPr>
            <w:r>
              <w:rPr>
                <w:rFonts w:ascii="仿宋_GB2312" w:hAnsi="仿宋_GB2312" w:cs="仿宋_GB2312" w:eastAsia="仿宋_GB2312"/>
                <w:sz w:val="27"/>
                <w:b/>
              </w:rPr>
              <w:t>四、焦磷酸测序仪配套试剂耗材</w:t>
            </w:r>
          </w:p>
          <w:tbl>
            <w:tblPr>
              <w:tblInd w:type="dxa" w:w="120"/>
              <w:tblBorders>
                <w:top w:val="none" w:color="000000" w:sz="4"/>
                <w:left w:val="none" w:color="000000" w:sz="4"/>
                <w:bottom w:val="none" w:color="000000" w:sz="4"/>
                <w:right w:val="none" w:color="000000" w:sz="4"/>
                <w:insideH w:val="none"/>
                <w:insideV w:val="none"/>
              </w:tblBorders>
            </w:tblPr>
            <w:tblGrid>
              <w:gridCol w:w="232"/>
              <w:gridCol w:w="421"/>
              <w:gridCol w:w="308"/>
              <w:gridCol w:w="167"/>
              <w:gridCol w:w="270"/>
              <w:gridCol w:w="335"/>
              <w:gridCol w:w="335"/>
              <w:gridCol w:w="454"/>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项目名称</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检测指标</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参考</w:t>
                  </w:r>
                </w:p>
                <w:p>
                  <w:pPr>
                    <w:pStyle w:val="null3"/>
                    <w:jc w:val="both"/>
                  </w:pPr>
                  <w:r>
                    <w:rPr>
                      <w:rFonts w:ascii="仿宋_GB2312" w:hAnsi="仿宋_GB2312" w:cs="仿宋_GB2312" w:eastAsia="仿宋_GB2312"/>
                      <w:sz w:val="21"/>
                      <w:b/>
                      <w:color w:val="000000"/>
                    </w:rPr>
                    <w:t>规格</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单位</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有效期</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最高限价（元）</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b/>
                      <w:color w:val="000000"/>
                    </w:rPr>
                    <w:t>单人份最高限价（元）</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性能参数</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测序反应通用试剂盒</w:t>
                  </w:r>
                  <w:r>
                    <w:rPr>
                      <w:rFonts w:ascii="仿宋_GB2312" w:hAnsi="仿宋_GB2312" w:cs="仿宋_GB2312" w:eastAsia="仿宋_GB2312"/>
                      <w:sz w:val="21"/>
                      <w:color w:val="000000"/>
                    </w:rPr>
                    <w:t>（核心产品）</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痛风相关基因</w:t>
                  </w:r>
                  <w:r>
                    <w:rPr>
                      <w:rFonts w:ascii="仿宋_GB2312" w:hAnsi="仿宋_GB2312" w:cs="仿宋_GB2312" w:eastAsia="仿宋_GB2312"/>
                      <w:sz w:val="21"/>
                      <w:color w:val="000000"/>
                    </w:rPr>
                    <w:t>ABCG2、SLC2A9、SLC22A12</w:t>
                  </w:r>
                  <w:r>
                    <w:rPr>
                      <w:rFonts w:ascii="仿宋_GB2312" w:hAnsi="仿宋_GB2312" w:cs="仿宋_GB2312" w:eastAsia="仿宋_GB2312"/>
                      <w:sz w:val="21"/>
                      <w:color w:val="000000"/>
                    </w:rPr>
                    <w:t>等</w:t>
                  </w: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23T/盒</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盒</w:t>
                  </w:r>
                </w:p>
              </w:tc>
              <w:tc>
                <w:tcPr>
                  <w:tcW w:type="dxa" w:w="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≥18个月</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3049.8</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132.6</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rPr>
                    <w:t>▲</w:t>
                  </w:r>
                  <w:r>
                    <w:rPr>
                      <w:rFonts w:ascii="仿宋_GB2312" w:hAnsi="仿宋_GB2312" w:cs="仿宋_GB2312" w:eastAsia="仿宋_GB2312"/>
                      <w:sz w:val="21"/>
                      <w:color w:val="000000"/>
                    </w:rPr>
                    <w:t>方法学：焦磷酸测序法。</w:t>
                  </w:r>
                </w:p>
              </w:tc>
            </w:tr>
            <w:tr>
              <w:tc>
                <w:tcPr>
                  <w:tcW w:type="dxa" w:w="232"/>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30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270"/>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 样本要求：适用于生物素标记的双链DNA。</w:t>
                  </w:r>
                </w:p>
              </w:tc>
            </w:tr>
            <w:tr>
              <w:tc>
                <w:tcPr>
                  <w:tcW w:type="dxa" w:w="232"/>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30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270"/>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 准确性：处理的 5 例双链 DNA 样本均变成单链。</w:t>
                  </w:r>
                </w:p>
              </w:tc>
            </w:tr>
            <w:tr>
              <w:tc>
                <w:tcPr>
                  <w:tcW w:type="dxa" w:w="232"/>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30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270"/>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 重复性：处理的同一例双链 DNA 样本 5 次均能变成单链。</w:t>
                  </w:r>
                </w:p>
              </w:tc>
            </w:tr>
            <w:tr>
              <w:tc>
                <w:tcPr>
                  <w:tcW w:type="dxa" w:w="252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供应试剂耗材期间，提供项目技术支持（包括</w:t>
                  </w:r>
                  <w:r>
                    <w:rPr>
                      <w:rFonts w:ascii="仿宋_GB2312" w:hAnsi="仿宋_GB2312" w:cs="仿宋_GB2312" w:eastAsia="仿宋_GB2312"/>
                      <w:sz w:val="21"/>
                      <w:color w:val="000000"/>
                    </w:rPr>
                    <w:t>ISO评审技术支持），配合医院处理检测结果的质疑，需要时联系外单位协作比对试验。</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焦磷酸测序仪：自合同签订之日起国产产品5个工作日完成货物的安装、调试并正常运行。焦磷酸测序仪配套试剂耗材：72小时。乙方接到甲方订货通知72小时内负责将货物运送至甲方指定的地点，由甲方负责按照相关标准进行验收，乙方在运送过程中所产生的一切费用由乙方负责承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试剂耗材：详见合同条款付款方式及结算条件。焦磷酸测序仪（设备）:所有货物到达甲方指定地点，安装、调试完毕并验收合格后，接到甲方通知、乙方出具发票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剩余10%满一年后，收到发票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满两年后，收到发票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满3年后，收到发票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焦磷酸测序仪： 设备类： 货物到达甲方指定地点后，甲方根据合同中参数的要求，进行外观验收，确认产地、规格、型号和数量。验收不作为产品质量合格的最终依据。 焦磷酸测序仪配套试剂耗材： 1、货物到达甲方指定地点后，甲乙双方根据合同要求，进行外观验收，确认产地、规格、型号和数量。验收无误，双方在货物清单上签字确认。 2、乙方向甲方提交货物实施过程中的所有资料。以便甲方日后管理和维护。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焦磷酸测序仪：质保期：整机质保三年（含第三方设备）；焦磷酸测序仪配套试剂耗材：乙方配送的耗材日期距离其出厂日期不得超过该耗材有效期的三分之一时间段。如过该耗材有效期超过三分之一时间段，甲方有权拒收或选择退货，由此造成的损失由乙方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焦磷酸测序仪： 设备类 （一）按《民法典》、《政府采购法》中的相关条款执行。 （二）未按合同要求提供货物或质量不能满足谈判技术要求，乙方必须无条件更换，提高技术，完善质量，否则，甲方会同鉴证方有权终止合同，并对乙方的违约行为报监管机构进行相应的处罚。 （三）交货期每超过一天，扣除乙方合同总价款的 1 ‰作为违约金。 焦磷酸测序仪配套试剂耗材： 1、按《政府采购法》、《民法典》中的相关条款执行。 2、未按合同要求提供货物或质量不能满足招标技术要求，乙方必须无条件更换，提高技术，完善质量，否则，甲方有权终止合同，并对乙方的违约行为报监管机构进行相应的处罚，要求乙方赔偿甲方质量不合格产品价款的2倍作为违约金。 3、乙方不能按期交货，每延迟一天，乙方应偿付甲方总货款的0.5%的迟延违约金，违约金可累计计算。超过30天未交货，甲方有权解除合同。乙方违反合同约定应赔偿甲方总货款的30%作为违约金。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一、焦磷酸测序仪： 1、接到使用客户维修电话，2小时响应，4小时内工程师到位。 2、货物到达甲方指定地点后，甲方根据合同中参数的要求，进行外观验收，确认产地、规格、型号和数量。验收不作为产品质量合格的最终依据。 3、保证设备及配用设备（冰箱、移液器等）正常运转，并无偿提供定期校准（至少每年2次）及维保；所有设备（包括冰箱、移液器等）零配件价格≤5000元及时更换。 二、焦磷酸测序仪配套试剂耗材： 1、质量保证：乙方承诺所提供的医疗卫生耗材必须是符合药监部门质量标准的合格产品，进货渠道正常，并具备正规的产品注册证登记表、生产许可证，配送耗材时须提供配送批次产品的合格证明资料、检测报告、卫生安全评价报告等 2、乙方不仅应随耗材向甲方提供使用说明书、质量标准或甲方所要求的相关资料，同时乙方须保证甲方在使用过程中的技术支持及售后服务，否则，甲方有权拒收耗材或则退货，责任由乙方承担。 3、包装及其他要求：符合出厂要求、包装完整无破损；包装标识清楚，配送产品必须为全新未拆封产品且渠道合法。 4、乙方所提供的医用卫生耗材在有效期内出现质量问题，甲方有权利要求乙方退货或换货，退换货时间不超过72小时。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非法定代表人参加投标的，须提供法定代表人授权委托书及被授权人身份证及近三个月在本单位缴纳社保的证明；法定代表人参加投标时,只须提供法定代表人身份证。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05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提供2024年05月至今已缴纳的至少三个月的纳税证明或完税证明；依法免税的单位应提供相关证明材料。（以税收所属时期为准）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所投产品纳入医疗器械管理的，投标人的投标产品经营资格应符合国家相关规定并提供相关证明文件（① 投标人为经销商的，提供“医疗器械经营许可证”或“医疗器械经营备案证”。② 投标人为生产商的，提供“医疗器械生产许可证”或“医疗器械生产备案凭证”。③ 提供所投产品（医疗器械）的“医疗器械注册证”或“医疗器械备案证”）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投标报价是否超过预算或最高限价（单价限价）。</w:t>
            </w:r>
          </w:p>
        </w:tc>
        <w:tc>
          <w:tcPr>
            <w:tcW w:type="dxa" w:w="1661"/>
          </w:tcPr>
          <w:p>
            <w:pPr>
              <w:pStyle w:val="null3"/>
            </w:pPr>
            <w:r>
              <w:rPr>
                <w:rFonts w:ascii="仿宋_GB2312" w:hAnsi="仿宋_GB2312" w:cs="仿宋_GB2312" w:eastAsia="仿宋_GB2312"/>
              </w:rPr>
              <w:t>开标一览表 标的清单 投标人开标一览表.docx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交货期、质保期、供货期是否满足招标文件要求。</w:t>
            </w:r>
          </w:p>
        </w:tc>
        <w:tc>
          <w:tcPr>
            <w:tcW w:type="dxa" w:w="1661"/>
          </w:tcPr>
          <w:p>
            <w:pPr>
              <w:pStyle w:val="null3"/>
            </w:pPr>
            <w:r>
              <w:rPr>
                <w:rFonts w:ascii="仿宋_GB2312" w:hAnsi="仿宋_GB2312" w:cs="仿宋_GB2312" w:eastAsia="仿宋_GB2312"/>
              </w:rPr>
              <w:t>开标一览表 商务和技术响应偏离表.docx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开标一览表 售后服务方案.docx 培训方案.docx 产品质量保证.docx 承诺函（2）.docx 中小企业声明函 供应商业绩一览表.docx 承诺书（3）.docx 产品技术参数.docx 资格证明文件.docx 分项报价表.docx 应急预案.docx 投标函 残疾人福利性单位声明函 供应商认为有必要说明的其他问题.docx 标的清单 商务和技术响应偏离表.docx 投标文件封面 实施方案.docx 西安市政府采购供应商拒绝政府采购领域商业贿赂承诺书.docx 投标人开标一览表.docx 承诺函（1）.docx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承诺函（2）.docx 商务和技术响应偏离表.docx 承诺书（3）.docx 西安市政府采购供应商拒绝政府采购领域商业贿赂承诺书.docx 承诺函（1）.docx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承诺函（2）.docx 商务和技术响应偏离表.docx 承诺书（3）.docx 西安市政府采购供应商拒绝政府采购领域商业贿赂承诺书.docx 承诺函（1）.docx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是否为西安市第五医院的职工投资开办或控股企业 2、西安市第五医院的职工本人或亲属未在供应商处担任高管、独立董事等具有重大利益关系职务</w:t>
            </w:r>
          </w:p>
        </w:tc>
        <w:tc>
          <w:tcPr>
            <w:tcW w:type="dxa" w:w="1661"/>
          </w:tcPr>
          <w:p>
            <w:pPr>
              <w:pStyle w:val="null3"/>
            </w:pPr>
            <w:r>
              <w:rPr>
                <w:rFonts w:ascii="仿宋_GB2312" w:hAnsi="仿宋_GB2312" w:cs="仿宋_GB2312" w:eastAsia="仿宋_GB2312"/>
              </w:rPr>
              <w:t>承诺函（1）.docx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供应商声明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承诺函（2）.docx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承诺函（3）</w:t>
            </w:r>
          </w:p>
        </w:tc>
        <w:tc>
          <w:tcPr>
            <w:tcW w:type="dxa" w:w="3322"/>
          </w:tcPr>
          <w:p>
            <w:pPr>
              <w:pStyle w:val="null3"/>
            </w:pPr>
            <w:r>
              <w:rPr>
                <w:rFonts w:ascii="仿宋_GB2312" w:hAnsi="仿宋_GB2312" w:cs="仿宋_GB2312" w:eastAsia="仿宋_GB2312"/>
              </w:rPr>
              <w:t>供应商承诺参加本项目所投耗材为“两票制”或“一票制”。</w:t>
            </w:r>
          </w:p>
        </w:tc>
        <w:tc>
          <w:tcPr>
            <w:tcW w:type="dxa" w:w="1661"/>
          </w:tcPr>
          <w:p>
            <w:pPr>
              <w:pStyle w:val="null3"/>
            </w:pPr>
            <w:r>
              <w:rPr>
                <w:rFonts w:ascii="仿宋_GB2312" w:hAnsi="仿宋_GB2312" w:cs="仿宋_GB2312" w:eastAsia="仿宋_GB2312"/>
              </w:rPr>
              <w:t>承诺书（3）.docx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1、焦磷酸测序仪： 投标产品技术参数清楚、明确，有相应齐全的技术资料，完全满足招标技术参数要求得26分；负偏离一项扣2分，扣完为止。 2、焦磷酸测序仪配套试剂耗材：投标产品技术参数清楚、明确，有相应齐全的技术资料，完全满足招标技术参数要求得10分；加“▲”项参数负偏离一项扣4分，扣完为止；一般参数负偏离一项扣2分，扣完为止。 评审依据：技术参数及性能指标清楚、明确，技术资料齐全，供应商应提供详细的证明材料，不限于投标产品注册证及附件、（产品）彩页（如有）、（产品）说明书、 检测/检验报告、产品功能说明等；无证明资料或证明资料不能证明其满足参数技术指标的，将被视为负偏离。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商务和技术响应偏离表.docx</w:t>
            </w:r>
          </w:p>
          <w:p>
            <w:pPr>
              <w:pStyle w:val="null3"/>
            </w:pPr>
            <w:r>
              <w:rPr>
                <w:rFonts w:ascii="仿宋_GB2312" w:hAnsi="仿宋_GB2312" w:cs="仿宋_GB2312" w:eastAsia="仿宋_GB2312"/>
              </w:rPr>
              <w:t>产品技术参数.docx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提供所投焦磷酸测序仪、焦磷酸测序仪配套试剂耗材产品设备（产品）及备品备件符合国内、国际相关标准且无产权纠纷，无假货、水货、翻新货，提供所投产品来源渠道合法证明文件（包括但不限于销售协议、代理协议、原厂授权等）等，证明文件齐全，来源渠道清晰，每提供一个产品得3分，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p>
            <w:pPr>
              <w:pStyle w:val="null3"/>
            </w:pPr>
            <w:r>
              <w:rPr>
                <w:rFonts w:ascii="仿宋_GB2312" w:hAnsi="仿宋_GB2312" w:cs="仿宋_GB2312" w:eastAsia="仿宋_GB2312"/>
              </w:rPr>
              <w:t>商务和技术响应偏离表.docx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根据投标人针对本项目实施方案（不限于供货配送方案、运输保管方案、安装调试、质量标准、人员配备、产品调换方案以及出现紧急情况下的应急方案等实施方案）进行综合评分。 完全满足采购需求并符合本项目实施特点的得7分；以上方面中每缺少一方面内容扣1分；每有一处内容与实际需求不符或不满足要求或与本项目需求不切合或直接套用其他项目内容的扣0.5分，扣完为止。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商务和技术响应偏离表.docx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制定相应的售后服务方案，包括调换货响应时效、维保方案、具体可行的售后服务措施承诺及明确详细的售后服务人员组成和安排，为招标人提供必要的技术支持等内容根据响应程度进行综合评分。完全满足采购需求并符合本项目实施特点的得5分；以上方面中每缺少一方面内容扣1分；每有一处内容与实际需求不符或不满足要求或与本项目需求不切合或直接套用其他项目内容的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商务和技术响应偏离表.docx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采购人负责培训操作人员，并附有完整的培训方案，列出详细的培训内容、培训方式、培训人员等说明，完整且符合实际需求得6分，每缺少一项内容扣2分，某一项不完整或与实际需求不符或不满足要求或与本项目需求不切合或直接套用其他项目内容的扣1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p>
            <w:pPr>
              <w:pStyle w:val="null3"/>
            </w:pPr>
            <w:r>
              <w:rPr>
                <w:rFonts w:ascii="仿宋_GB2312" w:hAnsi="仿宋_GB2312" w:cs="仿宋_GB2312" w:eastAsia="仿宋_GB2312"/>
              </w:rPr>
              <w:t>商务和技术响应偏离表.docx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需提供本项目针对医院的应急响应服务，需提供包括但不限于应急响应保障方案和人员，按照提供的应急响应保障方案、应急响应时效、应急响应方法、恢复时间、应急人员安排等情况进行横向对比综合打分。完全满足采购需求并符合本项目实施特点的得5分；以上内容中每缺少一项内容扣 1分；每有一处内容与实际需求不符或不满足要求或与本项目需求不切合或直接套用其他项目内容的扣0.5分，扣完为止。未提供不得分。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p>
            <w:pPr>
              <w:pStyle w:val="null3"/>
            </w:pPr>
            <w:r>
              <w:rPr>
                <w:rFonts w:ascii="仿宋_GB2312" w:hAnsi="仿宋_GB2312" w:cs="仿宋_GB2312" w:eastAsia="仿宋_GB2312"/>
              </w:rPr>
              <w:t>商务和技术响应偏离表.docx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提供2022年1月1日至今所投核心产品业绩合同（以合同签订时间为准）1个业绩计1分，最高得5分。 评审依据：须提供完整清晰的合同复印件并加盖公章。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供应商业绩一览表.docx</w:t>
            </w:r>
          </w:p>
          <w:p>
            <w:pPr>
              <w:pStyle w:val="null3"/>
            </w:pPr>
            <w:r>
              <w:rPr>
                <w:rFonts w:ascii="仿宋_GB2312" w:hAnsi="仿宋_GB2312" w:cs="仿宋_GB2312" w:eastAsia="仿宋_GB2312"/>
              </w:rPr>
              <w:t>商务和技术响应偏离表.docx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2、有效最低报价为基准价得30分。设备、试剂耗材各占50% 3、①A:按（设备有效最低报价/设备有效投标报价）×30×50%的公式计算报价得分。B:按（试剂耗材有效最低报价/试剂耗材有效投标报价）×30×50%的公式计算报价得分。 ②报价得分=A+B 4、投标报价不完整的，不进入评标基准价的计算，本项得0分。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详见附件：商务和技术响应偏离表.docx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详见附件：产品技术参数.docx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详见附件：供应商业绩一览表.docx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详见附件：西安市政府采购供应商拒绝政府采购领域商业贿赂承诺书.docx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详见附件：承诺函（1）.docx</w:t>
      </w:r>
    </w:p>
    <w:p>
      <w:pPr>
        <w:pStyle w:val="null3"/>
        <w:ind w:firstLine="960"/>
      </w:pPr>
      <w:r>
        <w:rPr>
          <w:rFonts w:ascii="仿宋_GB2312" w:hAnsi="仿宋_GB2312" w:cs="仿宋_GB2312" w:eastAsia="仿宋_GB2312"/>
        </w:rPr>
        <w:t>详见附件：承诺函（2）.docx</w:t>
      </w:r>
    </w:p>
    <w:p>
      <w:pPr>
        <w:pStyle w:val="null3"/>
        <w:ind w:firstLine="960"/>
      </w:pPr>
      <w:r>
        <w:rPr>
          <w:rFonts w:ascii="仿宋_GB2312" w:hAnsi="仿宋_GB2312" w:cs="仿宋_GB2312" w:eastAsia="仿宋_GB2312"/>
        </w:rPr>
        <w:t>详见附件：承诺书（3）.docx</w:t>
      </w:r>
    </w:p>
    <w:p>
      <w:pPr>
        <w:pStyle w:val="null3"/>
        <w:ind w:firstLine="960"/>
      </w:pPr>
      <w:r>
        <w:rPr>
          <w:rFonts w:ascii="仿宋_GB2312" w:hAnsi="仿宋_GB2312" w:cs="仿宋_GB2312" w:eastAsia="仿宋_GB2312"/>
        </w:rPr>
        <w:t>详见附件：投标人开标一览表.docx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