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版本号：HSGJ2025—15220250529001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文物库房租赁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HSGJ2025—152</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文物库房租赁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文物库房租赁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文物库房租赁，具体内容详见第三章。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采购包1（文物库房租赁）：属于专门面向中小企业采购。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2、财务状况报告：财务状况报告：提供2023年度或2024年度的财务审计报告或开标前六个月内其基本存款账户开户银行出具的资信证明（附开户许可证或开户备案证明或基本账户信息）；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4、税收缴纳证明：提供2024年7月至今已缴纳的至少一个月的纳税证明，依法免税的单位应提供相关证明材料；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转账事由：HSGJ2025-152项目代理服务费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文物库房租赁，具体内容详见第三章。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文物库房租赁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标的名称：文物库房租赁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一、服务内容及要求</w:t>
            </w:r>
          </w:p>
          <w:p>
            <w:pPr>
              <w:pStyle w:val="null3"/>
              <w:ind w:firstLine="420"/>
              <w:jc w:val="both"/>
            </w:pPr>
            <w:r>
              <w:rPr>
                <w:rFonts w:ascii="仿宋_GB2312" w:hAnsi="仿宋_GB2312" w:cs="仿宋_GB2312" w:eastAsia="仿宋_GB2312"/>
                <w:sz w:val="21"/>
              </w:rPr>
              <w:t>1.鉴于租赁库房是为了存储文物，</w:t>
            </w:r>
            <w:r>
              <w:rPr>
                <w:rFonts w:ascii="仿宋_GB2312" w:hAnsi="仿宋_GB2312" w:cs="仿宋_GB2312" w:eastAsia="仿宋_GB2312"/>
                <w:sz w:val="21"/>
              </w:rPr>
              <w:t>★</w:t>
            </w:r>
            <w:r>
              <w:rPr>
                <w:rFonts w:ascii="仿宋_GB2312" w:hAnsi="仿宋_GB2312" w:cs="仿宋_GB2312" w:eastAsia="仿宋_GB2312"/>
                <w:sz w:val="21"/>
              </w:rPr>
              <w:t>租赁面积不小于</w:t>
            </w:r>
            <w:r>
              <w:rPr>
                <w:rFonts w:ascii="仿宋_GB2312" w:hAnsi="仿宋_GB2312" w:cs="仿宋_GB2312" w:eastAsia="仿宋_GB2312"/>
                <w:sz w:val="21"/>
              </w:rPr>
              <w:t>3000平方米</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层高不低于</w:t>
            </w:r>
            <w:r>
              <w:rPr>
                <w:rFonts w:ascii="仿宋_GB2312" w:hAnsi="仿宋_GB2312" w:cs="仿宋_GB2312" w:eastAsia="仿宋_GB2312"/>
                <w:sz w:val="21"/>
              </w:rPr>
              <w:t>8米，水电设施齐备，对建筑结构特点、区域因素、个别因素、周围环境及安全等级有一定要求，同时具备办公和库房功能。</w:t>
            </w:r>
          </w:p>
          <w:tbl>
            <w:tblPr>
              <w:tblBorders>
                <w:top w:val="none" w:color="000000" w:sz="4"/>
                <w:left w:val="none" w:color="000000" w:sz="4"/>
                <w:bottom w:val="none" w:color="000000" w:sz="4"/>
                <w:right w:val="none" w:color="000000" w:sz="4"/>
                <w:insideH w:val="none"/>
                <w:insideV w:val="none"/>
              </w:tblBorders>
            </w:tblPr>
            <w:tblGrid>
              <w:gridCol w:w="625"/>
              <w:gridCol w:w="1928"/>
            </w:tblGrid>
            <w:tr>
              <w:tc>
                <w:tcPr>
                  <w:tcW w:type="dxa" w:w="6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rPr>
                    <w:t>名称</w:t>
                  </w:r>
                </w:p>
              </w:tc>
              <w:tc>
                <w:tcPr>
                  <w:tcW w:type="dxa" w:w="1928"/>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20"/>
                    <w:jc w:val="center"/>
                  </w:pPr>
                  <w:r>
                    <w:rPr>
                      <w:rFonts w:ascii="仿宋_GB2312" w:hAnsi="仿宋_GB2312" w:cs="仿宋_GB2312" w:eastAsia="仿宋_GB2312"/>
                      <w:sz w:val="21"/>
                    </w:rPr>
                    <w:t>库房租赁要求</w:t>
                  </w:r>
                </w:p>
              </w:tc>
            </w:tr>
            <w:tr>
              <w:tc>
                <w:tcPr>
                  <w:tcW w:type="dxa" w:w="6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rPr>
                    <w:t>建筑结构特点</w:t>
                  </w:r>
                </w:p>
              </w:tc>
              <w:tc>
                <w:tcPr>
                  <w:tcW w:type="dxa" w:w="1928"/>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20"/>
                    <w:jc w:val="left"/>
                  </w:pPr>
                  <w:r>
                    <w:rPr>
                      <w:rFonts w:ascii="仿宋_GB2312" w:hAnsi="仿宋_GB2312" w:cs="仿宋_GB2312" w:eastAsia="仿宋_GB2312"/>
                      <w:sz w:val="21"/>
                    </w:rPr>
                    <w:t>园区仓库有独立仓间，结构为钢结构或者框架结构。</w:t>
                  </w:r>
                </w:p>
              </w:tc>
            </w:tr>
            <w:tr>
              <w:tc>
                <w:tcPr>
                  <w:tcW w:type="dxa" w:w="6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rPr>
                    <w:t>消防等级</w:t>
                  </w:r>
                </w:p>
              </w:tc>
              <w:tc>
                <w:tcPr>
                  <w:tcW w:type="dxa" w:w="1928"/>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消防等级为丙二类及以上。</w:t>
                  </w:r>
                </w:p>
                <w:p>
                  <w:pPr>
                    <w:pStyle w:val="null3"/>
                    <w:ind w:firstLine="420"/>
                    <w:jc w:val="both"/>
                  </w:pPr>
                  <w:r>
                    <w:rPr>
                      <w:rFonts w:ascii="仿宋_GB2312" w:hAnsi="仿宋_GB2312" w:cs="仿宋_GB2312" w:eastAsia="仿宋_GB2312"/>
                      <w:sz w:val="21"/>
                    </w:rPr>
                    <w:t>建筑耐火等级二级及以上。</w:t>
                  </w:r>
                </w:p>
              </w:tc>
            </w:tr>
            <w:tr>
              <w:tc>
                <w:tcPr>
                  <w:tcW w:type="dxa" w:w="6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color w:val="000000"/>
                    </w:rPr>
                    <w:t>承重</w:t>
                  </w:r>
                </w:p>
              </w:tc>
              <w:tc>
                <w:tcPr>
                  <w:tcW w:type="dxa" w:w="1928"/>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承重</w:t>
                  </w:r>
                  <w:r>
                    <w:rPr>
                      <w:rFonts w:ascii="仿宋_GB2312" w:hAnsi="仿宋_GB2312" w:cs="仿宋_GB2312" w:eastAsia="仿宋_GB2312"/>
                      <w:sz w:val="21"/>
                      <w:color w:val="000000"/>
                    </w:rPr>
                    <w:t>20KN/㎡及以上。</w:t>
                  </w:r>
                </w:p>
              </w:tc>
            </w:tr>
            <w:tr>
              <w:tc>
                <w:tcPr>
                  <w:tcW w:type="dxa" w:w="62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rPr>
                    <w:t>配套设施</w:t>
                  </w:r>
                </w:p>
              </w:tc>
              <w:tc>
                <w:tcPr>
                  <w:tcW w:type="dxa" w:w="1928"/>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420"/>
                    <w:jc w:val="both"/>
                  </w:pPr>
                  <w:r>
                    <w:rPr>
                      <w:rFonts w:ascii="仿宋_GB2312" w:hAnsi="仿宋_GB2312" w:cs="仿宋_GB2312" w:eastAsia="仿宋_GB2312"/>
                      <w:sz w:val="21"/>
                    </w:rPr>
                    <w:t>园区配有职工餐厅、职工住宿、地上地下停车位、充电桩等，配备会议室和接待室，</w:t>
                  </w:r>
                  <w:r>
                    <w:rPr>
                      <w:rFonts w:ascii="仿宋_GB2312" w:hAnsi="仿宋_GB2312" w:cs="仿宋_GB2312" w:eastAsia="仿宋_GB2312"/>
                      <w:sz w:val="21"/>
                      <w:color w:val="000000"/>
                    </w:rPr>
                    <w:t>满足各类接待；库房所在</w:t>
                  </w:r>
                  <w:r>
                    <w:rPr>
                      <w:rFonts w:ascii="仿宋_GB2312" w:hAnsi="仿宋_GB2312" w:cs="仿宋_GB2312" w:eastAsia="仿宋_GB2312"/>
                      <w:sz w:val="21"/>
                    </w:rPr>
                    <w:t>建筑出入口及周边围墙电子围栏、库区外围摄像头、库区监控摄像头覆盖，监控录像存储时间不低于</w:t>
                  </w:r>
                  <w:r>
                    <w:rPr>
                      <w:rFonts w:ascii="仿宋_GB2312" w:hAnsi="仿宋_GB2312" w:cs="仿宋_GB2312" w:eastAsia="仿宋_GB2312"/>
                      <w:sz w:val="21"/>
                    </w:rPr>
                    <w:t>90天。</w:t>
                  </w:r>
                </w:p>
              </w:tc>
            </w:tr>
            <w:tr>
              <w:tc>
                <w:tcPr>
                  <w:tcW w:type="dxa" w:w="62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1"/>
                    </w:rPr>
                    <w:t>物业管理</w:t>
                  </w:r>
                </w:p>
              </w:tc>
              <w:tc>
                <w:tcPr>
                  <w:tcW w:type="dxa" w:w="1928"/>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20"/>
                    <w:jc w:val="both"/>
                  </w:pPr>
                  <w:r>
                    <w:rPr>
                      <w:rFonts w:ascii="仿宋_GB2312" w:hAnsi="仿宋_GB2312" w:cs="仿宋_GB2312" w:eastAsia="仿宋_GB2312"/>
                      <w:sz w:val="21"/>
                    </w:rPr>
                    <w:t>园区物业管理：物业安保提供</w:t>
                  </w:r>
                  <w:r>
                    <w:rPr>
                      <w:rFonts w:ascii="仿宋_GB2312" w:hAnsi="仿宋_GB2312" w:cs="仿宋_GB2312" w:eastAsia="仿宋_GB2312"/>
                      <w:sz w:val="21"/>
                    </w:rPr>
                    <w:t>24小时服务 ，安防设施全天24小时运行，园区保安和安防值守人员紧密配合，对异常情况及时现场核对，保安定时对园区进行巡逻，安防设施全天24小时由专业人员值守；保洁每天按时打扫房屋公共区域卫生，确保卫生干净，环境优美。</w:t>
                  </w:r>
                </w:p>
              </w:tc>
            </w:tr>
          </w:tbl>
          <w:p>
            <w:pPr>
              <w:pStyle w:val="null3"/>
              <w:ind w:firstLine="420"/>
              <w:jc w:val="both"/>
            </w:pPr>
            <w:r>
              <w:rPr>
                <w:rFonts w:ascii="仿宋_GB2312" w:hAnsi="仿宋_GB2312" w:cs="仿宋_GB2312" w:eastAsia="仿宋_GB2312"/>
                <w:sz w:val="21"/>
                <w:color w:val="000000"/>
              </w:rPr>
              <w:t>2.自建园区</w:t>
            </w:r>
            <w:r>
              <w:rPr>
                <w:rFonts w:ascii="仿宋_GB2312" w:hAnsi="仿宋_GB2312" w:cs="仿宋_GB2312" w:eastAsia="仿宋_GB2312"/>
                <w:sz w:val="21"/>
                <w:color w:val="000000"/>
              </w:rPr>
              <w:t>方承担的事务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自建园区</w:t>
            </w:r>
            <w:r>
              <w:rPr>
                <w:rFonts w:ascii="仿宋_GB2312" w:hAnsi="仿宋_GB2312" w:cs="仿宋_GB2312" w:eastAsia="仿宋_GB2312"/>
                <w:sz w:val="21"/>
                <w:color w:val="000000"/>
              </w:rPr>
              <w:t>方负责园区公共区域的安保和环境卫生工作，对</w:t>
            </w:r>
            <w:r>
              <w:rPr>
                <w:rFonts w:ascii="仿宋_GB2312" w:hAnsi="仿宋_GB2312" w:cs="仿宋_GB2312" w:eastAsia="仿宋_GB2312"/>
                <w:sz w:val="21"/>
                <w:color w:val="000000"/>
              </w:rPr>
              <w:t>仓库</w:t>
            </w:r>
            <w:r>
              <w:rPr>
                <w:rFonts w:ascii="仿宋_GB2312" w:hAnsi="仿宋_GB2312" w:cs="仿宋_GB2312" w:eastAsia="仿宋_GB2312"/>
                <w:sz w:val="21"/>
                <w:color w:val="000000"/>
              </w:rPr>
              <w:t>使用中出现的如漏水，墙皮脱落等问题由</w:t>
            </w:r>
            <w:r>
              <w:rPr>
                <w:rFonts w:ascii="仿宋_GB2312" w:hAnsi="仿宋_GB2312" w:cs="仿宋_GB2312" w:eastAsia="仿宋_GB2312"/>
                <w:sz w:val="21"/>
                <w:color w:val="000000"/>
              </w:rPr>
              <w:t>业务主方</w:t>
            </w:r>
            <w:r>
              <w:rPr>
                <w:rFonts w:ascii="仿宋_GB2312" w:hAnsi="仿宋_GB2312" w:cs="仿宋_GB2312" w:eastAsia="仿宋_GB2312"/>
                <w:sz w:val="21"/>
                <w:color w:val="000000"/>
              </w:rPr>
              <w:t>负责维修</w:t>
            </w:r>
            <w:r>
              <w:rPr>
                <w:rFonts w:ascii="仿宋_GB2312" w:hAnsi="仿宋_GB2312" w:cs="仿宋_GB2312" w:eastAsia="仿宋_GB2312"/>
                <w:sz w:val="21"/>
                <w:color w:val="000000"/>
              </w:rPr>
              <w:t>;负责园区保洁、秩序维护、工程水电及设备维修、绿化养护、公共区域、绿化区域、电子监控系统等设施设备检测等服务内容;负责园区专用设施、设备的日常巡检和管理;配合专用设施设备专业队伍进行维保、年检、管理等工作;物业的专用部分提供维修养护等服务负责日常垃圾现场管理及垃圾清运管理日产日清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提供所使用仓库不动产权证书及仓库消防验收合格证。如仓库非自有，需提供与仓库业主在合同期内的有效合同</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备注：以上带</w:t>
            </w:r>
            <w:r>
              <w:rPr>
                <w:rFonts w:ascii="仿宋_GB2312" w:hAnsi="仿宋_GB2312" w:cs="仿宋_GB2312" w:eastAsia="仿宋_GB2312"/>
                <w:sz w:val="21"/>
                <w:b/>
              </w:rPr>
              <w:t>★</w:t>
            </w:r>
            <w:r>
              <w:rPr>
                <w:rFonts w:ascii="仿宋_GB2312" w:hAnsi="仿宋_GB2312" w:cs="仿宋_GB2312" w:eastAsia="仿宋_GB2312"/>
                <w:sz w:val="21"/>
                <w:b/>
              </w:rPr>
              <w:t>的参数需提供相关证明材料。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供应商根据服务内容及要求自行响应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供应商根据服务内容及要求自行响应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一年（每年一签，最长不超过三年。租赁起算时间为合同签订之日起）。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运行3个月后，库房整体运行平稳正常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1、服务标准：符合国家及行业相关规范及标准； 2、磋商报价包括但不限于租赁费、物业费、租赁期间的维修费、管理费、利润、税金、招标代理费等全部费用，即为完成本项目必须的各种其他费用。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3商务响应表.docx 2服务要求响应表.docx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1分项报价表.docx 6供应商拒绝政府采购领域商业贿赂承诺书.docx 4资质证明文件（参考格式）.docx 标的清单 报价表 响应函 3商务响应表.docx 2服务要求响应表.docx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1分项报价表.docx 6供应商拒绝政府采购领域商业贿赂承诺书.docx 4资质证明文件（参考格式）.docx 标的清单 报价表 响应函 3商务响应表.docx 2服务要求响应表.docx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供应商磋商报价的总价超过采购预算，作为不实质性响应磋商文件处理。</w:t>
            </w:r>
          </w:p>
        </w:tc>
        <w:tc>
          <w:tcPr>
            <w:tcW w:type="dxa" w:w="1661"/>
          </w:tcPr>
          <w:p>
            <w:pPr>
              <w:pStyle w:val="null3"/>
            </w:pPr>
            <w:r>
              <w:rPr>
                <w:rFonts w:ascii="仿宋_GB2312" w:hAnsi="仿宋_GB2312" w:cs="仿宋_GB2312" w:eastAsia="仿宋_GB2312"/>
              </w:rPr>
              <w:t>1分项报价表.docx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租赁及改造方案</w:t>
            </w:r>
          </w:p>
        </w:tc>
        <w:tc>
          <w:tcPr>
            <w:tcW w:type="dxa" w:w="2492"/>
          </w:tcPr>
          <w:p>
            <w:pPr>
              <w:pStyle w:val="null3"/>
            </w:pPr>
            <w:r>
              <w:rPr>
                <w:rFonts w:ascii="仿宋_GB2312" w:hAnsi="仿宋_GB2312" w:cs="仿宋_GB2312" w:eastAsia="仿宋_GB2312"/>
              </w:rPr>
              <w:t>供应商根据本项目服务内容及要求提供方案，方案包括但不限于：①服务重难点分析；②服务目标。 方案合理全面、目标清晰透彻，并能完全符合本项目需求得15分；方案基本合理全面、目标清晰透彻，基本符合本项目需求得12分；方案部分合理全面、目标较清晰透彻，部分符合本项目需求得 9分；方案部分合理全面，目标不清晰透彻，较为符合本项目需求得6分；方案欠缺，内容空泛得3分；未提供不得分。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设施配备的进度计划措施</w:t>
            </w:r>
          </w:p>
        </w:tc>
        <w:tc>
          <w:tcPr>
            <w:tcW w:type="dxa" w:w="2492"/>
          </w:tcPr>
          <w:p>
            <w:pPr>
              <w:pStyle w:val="null3"/>
            </w:pPr>
            <w:r>
              <w:rPr>
                <w:rFonts w:ascii="仿宋_GB2312" w:hAnsi="仿宋_GB2312" w:cs="仿宋_GB2312" w:eastAsia="仿宋_GB2312"/>
              </w:rPr>
              <w:t>进度计划措施包括但不限于：①租赁或自有园区库房改造的周期；②设备材料采购周期及安装周期等。进度计划措施详细、合理得10分；进度计划保证措施较详细、合理得7分；进度计划保证措施不清晰、较合理得4分；进度计划保证措施欠缺得2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租赁地点的配套设施</w:t>
            </w:r>
          </w:p>
        </w:tc>
        <w:tc>
          <w:tcPr>
            <w:tcW w:type="dxa" w:w="2492"/>
          </w:tcPr>
          <w:p>
            <w:pPr>
              <w:pStyle w:val="null3"/>
            </w:pPr>
            <w:r>
              <w:rPr>
                <w:rFonts w:ascii="仿宋_GB2312" w:hAnsi="仿宋_GB2312" w:cs="仿宋_GB2312" w:eastAsia="仿宋_GB2312"/>
              </w:rPr>
              <w:t>供应商根据本项目服务内容及要求提供说明资料，包括但不限于（租赁或自有园区的货梯、独立仓间、职工餐厅、职工宿舍、地上地下停车位、会议室、接待室、充电桩等配备）。 说明资料提供齐全、合理得10分；说明资料提供较齐全、合理得7分；说明资料提供较齐全、不合理得4分；说明资料提供欠缺得2分；未提供不得分。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安防措施</w:t>
            </w:r>
          </w:p>
        </w:tc>
        <w:tc>
          <w:tcPr>
            <w:tcW w:type="dxa" w:w="2492"/>
          </w:tcPr>
          <w:p>
            <w:pPr>
              <w:pStyle w:val="null3"/>
            </w:pPr>
            <w:r>
              <w:rPr>
                <w:rFonts w:ascii="仿宋_GB2312" w:hAnsi="仿宋_GB2312" w:cs="仿宋_GB2312" w:eastAsia="仿宋_GB2312"/>
              </w:rPr>
              <w:t>供应商根据本项目服务内容及要求提供的措施计划，措施计划包括但不限于租赁或自有园区的①防火；①防盗（出入口的监控设备，周边围墙的电子围栏，库区摄像头覆盖，监控录像存储时间不低于90天）；③自然灾害等。 措施计划详细、合理，完全满足本项目需求得15分；措施计划较详细、较合理，基本满足项目需求得12分；措施计划不清晰、较合理，部分满足本项目需求得9分；措施计划合理性一般，部分满足本项目需求得6分；措施计划欠缺，内容空泛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物业管理服务方案</w:t>
            </w:r>
          </w:p>
        </w:tc>
        <w:tc>
          <w:tcPr>
            <w:tcW w:type="dxa" w:w="2492"/>
          </w:tcPr>
          <w:p>
            <w:pPr>
              <w:pStyle w:val="null3"/>
            </w:pPr>
            <w:r>
              <w:rPr>
                <w:rFonts w:ascii="仿宋_GB2312" w:hAnsi="仿宋_GB2312" w:cs="仿宋_GB2312" w:eastAsia="仿宋_GB2312"/>
              </w:rPr>
              <w:t>供应商根据本项目服务内容及要求提供方案，包括但不限于租赁或自有园区（物业安保提供的24小时服务、安防设施全天24小时、物业管理制度、物业消防等）。方案合理完善，执行性强，完全满足本项目需求得10分；方案较为合理完善，执行性较强，基本满足项目需求得7分；方案较为合理完善，执行性较强，部分满足项目需求得4分；方案欠缺，内容空泛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现场安全事件的发生，做出应急预案（包括但不限于停电、漏水以及事件发生后的响应时间等）。预案合理完善，执行性强得5分；预案较为合理完善，执行性较强得3分；预案欠缺，内容空泛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拟投入本项目的人员1</w:t>
            </w:r>
          </w:p>
        </w:tc>
        <w:tc>
          <w:tcPr>
            <w:tcW w:type="dxa" w:w="2492"/>
          </w:tcPr>
          <w:p>
            <w:pPr>
              <w:pStyle w:val="null3"/>
            </w:pPr>
            <w:r>
              <w:rPr>
                <w:rFonts w:ascii="仿宋_GB2312" w:hAnsi="仿宋_GB2312" w:cs="仿宋_GB2312" w:eastAsia="仿宋_GB2312"/>
              </w:rPr>
              <w:t>拟投入本项目的人员，人员配备合理充足、分工明确得4分；人员配备较合理充足、分工明确得2分；人员配备不充足，分工不合理得1分，未提供不得分。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拟投入本项目的人员2</w:t>
            </w:r>
          </w:p>
        </w:tc>
        <w:tc>
          <w:tcPr>
            <w:tcW w:type="dxa" w:w="2492"/>
          </w:tcPr>
          <w:p>
            <w:pPr>
              <w:pStyle w:val="null3"/>
            </w:pPr>
            <w:r>
              <w:rPr>
                <w:rFonts w:ascii="仿宋_GB2312" w:hAnsi="仿宋_GB2312" w:cs="仿宋_GB2312" w:eastAsia="仿宋_GB2312"/>
              </w:rPr>
              <w:t>租赁或自有园区配备2名中级及以上注册安全工程师得2分，每增加1人得1分，满分4分。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检测报告</w:t>
            </w:r>
          </w:p>
        </w:tc>
        <w:tc>
          <w:tcPr>
            <w:tcW w:type="dxa" w:w="2492"/>
          </w:tcPr>
          <w:p>
            <w:pPr>
              <w:pStyle w:val="null3"/>
            </w:pPr>
            <w:r>
              <w:rPr>
                <w:rFonts w:ascii="仿宋_GB2312" w:hAnsi="仿宋_GB2312" w:cs="仿宋_GB2312" w:eastAsia="仿宋_GB2312"/>
              </w:rPr>
              <w:t>供应商提供租赁或自有园区的报告（建筑消防设施检测报告、雷电检测报告、电气检测报告），每提供一项得1分，满分3分。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抗震等级</w:t>
            </w:r>
          </w:p>
        </w:tc>
        <w:tc>
          <w:tcPr>
            <w:tcW w:type="dxa" w:w="2492"/>
          </w:tcPr>
          <w:p>
            <w:pPr>
              <w:pStyle w:val="null3"/>
            </w:pPr>
            <w:r>
              <w:rPr>
                <w:rFonts w:ascii="仿宋_GB2312" w:hAnsi="仿宋_GB2312" w:cs="仿宋_GB2312" w:eastAsia="仿宋_GB2312"/>
              </w:rPr>
              <w:t>租赁或自有园区抗震等级为三级得2分，二级得3分，一级得4分，满分4分。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提供2022年1月1日至今类似项目业绩，响应文件中附有其业绩证明材料，业绩以合同或中标（成交）通知书为依据，每提供一个计1分，满分5分。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 满足磋商文件要求且最终磋商报价最低的磋商报价为评标基准价，其价格分为满分。价格分按照下列公式计算。 报价得分=（评标基准价/有效报价）×价格权重（15%）×100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详见附件：2服务要求响应表.docx</w:t>
      </w:r>
    </w:p>
    <w:p>
      <w:pPr>
        <w:pStyle w:val="null3"/>
        <w:ind w:firstLine="960"/>
      </w:pPr>
      <w:r>
        <w:rPr>
          <w:rFonts w:ascii="仿宋_GB2312" w:hAnsi="仿宋_GB2312" w:cs="仿宋_GB2312" w:eastAsia="仿宋_GB2312"/>
        </w:rPr>
        <w:t>详见附件：3商务响应表.docx</w:t>
      </w:r>
    </w:p>
    <w:p>
      <w:pPr>
        <w:pStyle w:val="null3"/>
        <w:ind w:firstLine="960"/>
      </w:pPr>
      <w:r>
        <w:rPr>
          <w:rFonts w:ascii="仿宋_GB2312" w:hAnsi="仿宋_GB2312" w:cs="仿宋_GB2312" w:eastAsia="仿宋_GB2312"/>
        </w:rPr>
        <w:t>详见附件：4资质证明文件（参考格式）.docx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