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版本号：ZCZX2025-CS-049（S）20250529001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西安市电梯信息化（智慧）监管平台升级服务项目(二次)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ZCZX2025-CS-049（S）</w:t>
      </w:r>
      <w:r>
        <w:br/>
      </w:r>
      <w:r>
        <w:br/>
      </w:r>
      <w:r>
        <w:br/>
      </w:r>
    </w:p>
    <w:p>
      <w:pPr>
        <w:pStyle w:val="null3"/>
        <w:jc w:val="center"/>
        <w:outlineLvl w:val="2"/>
      </w:pPr>
      <w:r>
        <w:rPr>
          <w:rFonts w:ascii="仿宋_GB2312" w:hAnsi="仿宋_GB2312" w:cs="仿宋_GB2312" w:eastAsia="仿宋_GB2312"/>
          <w:sz w:val="28"/>
          <w:b/>
        </w:rPr>
        <w:t>西安特种设备检验检测院</w:t>
      </w:r>
    </w:p>
    <w:p>
      <w:pPr>
        <w:pStyle w:val="null3"/>
        <w:jc w:val="center"/>
        <w:outlineLvl w:val="2"/>
      </w:pPr>
      <w:r>
        <w:rPr>
          <w:rFonts w:ascii="仿宋_GB2312" w:hAnsi="仿宋_GB2312" w:cs="仿宋_GB2312" w:eastAsia="仿宋_GB2312"/>
          <w:sz w:val="28"/>
          <w:b/>
        </w:rPr>
        <w:t>陕西众诚致信管理咨询有限公司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西安特种设备检验检测院</w:t>
      </w:r>
      <w:r>
        <w:rPr>
          <w:rFonts w:ascii="仿宋_GB2312" w:hAnsi="仿宋_GB2312" w:cs="仿宋_GB2312" w:eastAsia="仿宋_GB2312"/>
        </w:rPr>
        <w:t>委托，拟对</w:t>
      </w:r>
      <w:r>
        <w:rPr>
          <w:rFonts w:ascii="仿宋_GB2312" w:hAnsi="仿宋_GB2312" w:cs="仿宋_GB2312" w:eastAsia="仿宋_GB2312"/>
        </w:rPr>
        <w:t>西安市电梯信息化（智慧）监管平台升级服务项目(二次)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ZCZX2025-CS-049（S）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西安市电梯信息化（智慧）监管平台升级服务项目(二次)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本项目拟筛选一家第三方服务公司，为西安特种设备检验检测院西安市电梯信息化（智慧）监管平台进行升级及开发，提升用户使用体验，确保平台运行满足特种设备安全监管工作实际需求。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采购包1（西安市电梯信息化（智慧）监管平台升级服务项目）：属于专门面向中小企业采购。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授权：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被授权人的参保缴费证明（须赋可查询的验证编号或验证二维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西安特种设备检验检测院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西安市高新区团结南路69号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西安特种设备检验检测院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029-88763580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西安曲江新区翠华南路1688号创意盒子13层04室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姚海麟、吴芳超、孟凌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029-89565998、13199100790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成交单位的代理服务费交纳信息 银行户名：陕西众诚致信管理咨询有限公司 开户银行：北京银行股份有限公司西安分行营业部 账 号：20000042729000032633420 联系人：范道宏 联系电话：029-88565528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西安特种设备检验检测院</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西安特种设备检验检测院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西安特种设备检验检测院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陕西众诚致信管理咨询有限公司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联系人：姚海麟、吴芳超</w:t>
      </w:r>
    </w:p>
    <w:p>
      <w:pPr>
        <w:pStyle w:val="null3"/>
      </w:pPr>
      <w:r>
        <w:rPr>
          <w:rFonts w:ascii="仿宋_GB2312" w:hAnsi="仿宋_GB2312" w:cs="仿宋_GB2312" w:eastAsia="仿宋_GB2312"/>
        </w:rPr>
        <w:t>联系电话：029-89565998、13199100790</w:t>
      </w:r>
    </w:p>
    <w:p>
      <w:pPr>
        <w:pStyle w:val="null3"/>
      </w:pPr>
      <w:r>
        <w:rPr>
          <w:rFonts w:ascii="仿宋_GB2312" w:hAnsi="仿宋_GB2312" w:cs="仿宋_GB2312" w:eastAsia="仿宋_GB2312"/>
        </w:rPr>
        <w:t>地址：西安曲江新区翠华南路1688号创意盒子13层1304室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本项目拟筛选一家第三方服务公司，为西安特种设备检验检测院西安市电梯信息化（智慧）监管平台进行升级及开发，提升用户使用体验，确保平台运行满足特种设备安全监管工作实际需求。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1,100,000.00</w:t>
      </w:r>
    </w:p>
    <w:p>
      <w:pPr>
        <w:pStyle w:val="null3"/>
      </w:pPr>
      <w:r>
        <w:rPr>
          <w:rFonts w:ascii="仿宋_GB2312" w:hAnsi="仿宋_GB2312" w:cs="仿宋_GB2312" w:eastAsia="仿宋_GB2312"/>
        </w:rPr>
        <w:t>采购包最高限价（元）: 1,100,000.00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b/>
              </w:rPr>
              <w:t>一、项目名称</w:t>
            </w:r>
          </w:p>
          <w:p>
            <w:pPr>
              <w:pStyle w:val="null3"/>
              <w:jc w:val="both"/>
            </w:pPr>
            <w:r>
              <w:rPr>
                <w:rFonts w:ascii="仿宋_GB2312" w:hAnsi="仿宋_GB2312" w:cs="仿宋_GB2312" w:eastAsia="仿宋_GB2312"/>
                <w:sz w:val="18"/>
              </w:rPr>
              <w:t xml:space="preserve">  西安市电梯信息化（智慧）监管平台升级服务项目。</w:t>
            </w:r>
          </w:p>
          <w:p>
            <w:pPr>
              <w:pStyle w:val="null3"/>
              <w:jc w:val="both"/>
            </w:pPr>
            <w:r>
              <w:rPr>
                <w:rFonts w:ascii="仿宋_GB2312" w:hAnsi="仿宋_GB2312" w:cs="仿宋_GB2312" w:eastAsia="仿宋_GB2312"/>
                <w:sz w:val="18"/>
                <w:b/>
              </w:rPr>
              <w:t>二、项目概况</w:t>
            </w:r>
          </w:p>
          <w:p>
            <w:pPr>
              <w:pStyle w:val="null3"/>
              <w:jc w:val="both"/>
            </w:pPr>
            <w:r>
              <w:rPr>
                <w:rFonts w:ascii="仿宋_GB2312" w:hAnsi="仿宋_GB2312" w:cs="仿宋_GB2312" w:eastAsia="仿宋_GB2312"/>
                <w:sz w:val="18"/>
              </w:rPr>
              <w:t xml:space="preserve">  西安市电梯信息化（智慧）监管平台（以下简称：平台）是一个集电梯信息化管理、安全监管、数据查询和统计分析于一体的综合性监管平台，主要为全市电梯监管部门、电梯使用单位、维保单位、检验机构等用户提供监管和应用服务。2025年，根据国家市场监管总局电梯检验检测改革要求及陕西省市场监管局特种设备信息化建设要求，结合西安市全市特种设备安全监管工作实际，需在现有平台基础上，升级更新并开发部分功能，简化操作模块，提升用户使用体验，确保平台运行满足特种设备安全监管工作实际需求。</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18"/>
                <w:b/>
              </w:rPr>
              <w:t>三、项目内容</w:t>
            </w:r>
          </w:p>
          <w:p>
            <w:pPr>
              <w:pStyle w:val="null3"/>
              <w:jc w:val="both"/>
            </w:pPr>
            <w:r>
              <w:rPr>
                <w:rFonts w:ascii="仿宋_GB2312" w:hAnsi="仿宋_GB2312" w:cs="仿宋_GB2312" w:eastAsia="仿宋_GB2312"/>
                <w:sz w:val="18"/>
                <w:b/>
              </w:rPr>
              <w:t>（一）平台功能升级</w:t>
            </w:r>
          </w:p>
          <w:p>
            <w:pPr>
              <w:pStyle w:val="null3"/>
              <w:ind w:firstLine="400"/>
              <w:jc w:val="both"/>
            </w:pPr>
            <w:r>
              <w:rPr>
                <w:rFonts w:ascii="仿宋_GB2312" w:hAnsi="仿宋_GB2312" w:cs="仿宋_GB2312" w:eastAsia="仿宋_GB2312"/>
                <w:sz w:val="18"/>
              </w:rPr>
              <w:t>1.平台现有业务功能调整</w:t>
            </w:r>
          </w:p>
          <w:p>
            <w:pPr>
              <w:pStyle w:val="null3"/>
              <w:ind w:firstLine="400"/>
              <w:jc w:val="both"/>
            </w:pPr>
            <w:r>
              <w:rPr>
                <w:rFonts w:ascii="仿宋_GB2312" w:hAnsi="仿宋_GB2312" w:cs="仿宋_GB2312" w:eastAsia="仿宋_GB2312"/>
                <w:sz w:val="18"/>
              </w:rPr>
              <w:t>（1）调整平台用户登录提醒功能，为监管单位、电梯使用单位、生产单位分角色权限，在登录平台办理业务时发送相应工作提醒。</w:t>
            </w:r>
          </w:p>
          <w:p>
            <w:pPr>
              <w:pStyle w:val="null3"/>
              <w:ind w:firstLine="400"/>
              <w:jc w:val="both"/>
            </w:pPr>
            <w:r>
              <w:rPr>
                <w:rFonts w:ascii="仿宋_GB2312" w:hAnsi="仿宋_GB2312" w:cs="仿宋_GB2312" w:eastAsia="仿宋_GB2312"/>
                <w:sz w:val="18"/>
              </w:rPr>
              <w:t>（2）调整电梯检验机构数据接口，实现西安特检院检验申请一键跳转功能，包含检验信息、检验报告的回传及更新。</w:t>
            </w:r>
          </w:p>
          <w:p>
            <w:pPr>
              <w:pStyle w:val="null3"/>
              <w:ind w:firstLine="400"/>
              <w:jc w:val="both"/>
            </w:pPr>
            <w:r>
              <w:rPr>
                <w:rFonts w:ascii="仿宋_GB2312" w:hAnsi="仿宋_GB2312" w:cs="仿宋_GB2312" w:eastAsia="仿宋_GB2312"/>
                <w:sz w:val="18"/>
              </w:rPr>
              <w:t>（3）在业务办理功能中，根据监管工作实际需求，调整现有搜索条件，满足平台日常使用需求。</w:t>
            </w:r>
          </w:p>
          <w:p>
            <w:pPr>
              <w:pStyle w:val="null3"/>
              <w:ind w:firstLine="400"/>
              <w:jc w:val="both"/>
            </w:pPr>
            <w:r>
              <w:rPr>
                <w:rFonts w:ascii="仿宋_GB2312" w:hAnsi="仿宋_GB2312" w:cs="仿宋_GB2312" w:eastAsia="仿宋_GB2312"/>
                <w:sz w:val="18"/>
              </w:rPr>
              <w:t>（4）按照《电梯监督检验和定期检验规则》（TSG T7001—2023）《电梯自行检测规则》（TSG T7008—2023）相关要求，调整电梯监督检验、定期检验、自行检测详情展示。</w:t>
            </w:r>
          </w:p>
          <w:p>
            <w:pPr>
              <w:pStyle w:val="null3"/>
              <w:ind w:firstLine="400"/>
              <w:jc w:val="both"/>
            </w:pPr>
            <w:r>
              <w:rPr>
                <w:rFonts w:ascii="仿宋_GB2312" w:hAnsi="仿宋_GB2312" w:cs="仿宋_GB2312" w:eastAsia="仿宋_GB2312"/>
                <w:sz w:val="18"/>
              </w:rPr>
              <w:t>（5）根据平台新增业务调整现有短信提醒功能，添加新增业务的短信发送内容。</w:t>
            </w:r>
          </w:p>
          <w:p>
            <w:pPr>
              <w:pStyle w:val="null3"/>
              <w:ind w:firstLine="400"/>
              <w:jc w:val="both"/>
            </w:pPr>
            <w:r>
              <w:rPr>
                <w:rFonts w:ascii="仿宋_GB2312" w:hAnsi="仿宋_GB2312" w:cs="仿宋_GB2312" w:eastAsia="仿宋_GB2312"/>
                <w:sz w:val="18"/>
              </w:rPr>
              <w:t>（6）调整通知公告菜单中单位异常状态提醒功能，经平台定时自动检索，对相关资质超过有效期设定单位状态为异常的企业短信通知企业相关人员，同时在平台标注显示。</w:t>
            </w:r>
          </w:p>
          <w:p>
            <w:pPr>
              <w:pStyle w:val="null3"/>
              <w:ind w:firstLine="400"/>
              <w:jc w:val="both"/>
            </w:pPr>
            <w:r>
              <w:rPr>
                <w:rFonts w:ascii="仿宋_GB2312" w:hAnsi="仿宋_GB2312" w:cs="仿宋_GB2312" w:eastAsia="仿宋_GB2312"/>
                <w:sz w:val="18"/>
              </w:rPr>
              <w:t>2.新增功能</w:t>
            </w:r>
          </w:p>
          <w:p>
            <w:pPr>
              <w:pStyle w:val="null3"/>
              <w:ind w:firstLine="400"/>
              <w:jc w:val="both"/>
            </w:pPr>
            <w:r>
              <w:rPr>
                <w:rFonts w:ascii="仿宋_GB2312" w:hAnsi="仿宋_GB2312" w:cs="仿宋_GB2312" w:eastAsia="仿宋_GB2312"/>
                <w:sz w:val="18"/>
              </w:rPr>
              <w:t>（1）新增电梯自行检测业务，支持电梯使用单位、自行检测单位及监管部门业务流程管理。支持电梯使用单位、自行检测单位对人员新增、删除、数据查询、单位信息编辑等功能。</w:t>
            </w:r>
          </w:p>
          <w:p>
            <w:pPr>
              <w:pStyle w:val="null3"/>
              <w:ind w:firstLine="400"/>
              <w:jc w:val="both"/>
            </w:pPr>
            <w:r>
              <w:rPr>
                <w:rFonts w:ascii="仿宋_GB2312" w:hAnsi="仿宋_GB2312" w:cs="仿宋_GB2312" w:eastAsia="仿宋_GB2312"/>
                <w:sz w:val="18"/>
              </w:rPr>
              <w:t>（2）新增电梯智慧监管与数据分析分屏中的电梯风险监测分析与预警提示及处置方案。</w:t>
            </w:r>
          </w:p>
          <w:p>
            <w:pPr>
              <w:pStyle w:val="null3"/>
              <w:ind w:firstLine="400"/>
              <w:jc w:val="both"/>
            </w:pPr>
            <w:r>
              <w:rPr>
                <w:rFonts w:ascii="仿宋_GB2312" w:hAnsi="仿宋_GB2312" w:cs="仿宋_GB2312" w:eastAsia="仿宋_GB2312"/>
                <w:sz w:val="18"/>
              </w:rPr>
              <w:t>（3）新增全市特种设备智慧监管与数据分析总屏和锅炉、压力容器、压力管道、起重机械、客运索道、大型游乐设施、场（厂）内专用机动车辆等特种设备智慧监管与数据分析分屏。总屏和分屏均能实现数据及相关单位信息展示。</w:t>
            </w:r>
          </w:p>
          <w:p>
            <w:pPr>
              <w:pStyle w:val="null3"/>
              <w:ind w:firstLine="400"/>
              <w:jc w:val="both"/>
            </w:pPr>
            <w:r>
              <w:rPr>
                <w:rFonts w:ascii="仿宋_GB2312" w:hAnsi="仿宋_GB2312" w:cs="仿宋_GB2312" w:eastAsia="仿宋_GB2312"/>
                <w:sz w:val="18"/>
              </w:rPr>
              <w:t>（4）新增锅炉、压力容器、压力管道、起重机械、客运索道、大型游乐设施、场（厂）内专用机动车辆等7类特种设备的相关数据查询、导出功能。</w:t>
            </w:r>
          </w:p>
          <w:p>
            <w:pPr>
              <w:pStyle w:val="null3"/>
              <w:ind w:firstLine="400"/>
              <w:jc w:val="both"/>
            </w:pPr>
            <w:r>
              <w:rPr>
                <w:rFonts w:ascii="仿宋_GB2312" w:hAnsi="仿宋_GB2312" w:cs="仿宋_GB2312" w:eastAsia="仿宋_GB2312"/>
                <w:sz w:val="18"/>
              </w:rPr>
              <w:t>（5）新增西安市特种设备安全运行监控中心反馈工单处置流程。</w:t>
            </w:r>
          </w:p>
          <w:p>
            <w:pPr>
              <w:pStyle w:val="null3"/>
              <w:ind w:firstLine="400"/>
              <w:jc w:val="both"/>
            </w:pPr>
            <w:r>
              <w:rPr>
                <w:rFonts w:ascii="仿宋_GB2312" w:hAnsi="仿宋_GB2312" w:cs="仿宋_GB2312" w:eastAsia="仿宋_GB2312"/>
                <w:sz w:val="18"/>
              </w:rPr>
              <w:t>（6）新增数据接口，满足陕西省特种智慧监管平台与西安市电梯信息化（智慧）监管平台数据集成。</w:t>
            </w:r>
          </w:p>
          <w:p>
            <w:pPr>
              <w:pStyle w:val="null3"/>
              <w:ind w:firstLine="400"/>
              <w:jc w:val="both"/>
            </w:pPr>
            <w:r>
              <w:rPr>
                <w:rFonts w:ascii="仿宋_GB2312" w:hAnsi="仿宋_GB2312" w:cs="仿宋_GB2312" w:eastAsia="仿宋_GB2312"/>
                <w:sz w:val="18"/>
              </w:rPr>
              <w:t>（7）新增与西安特种设备检验检测院检验系统数据集成接口，实现西安市电梯信息化（智慧）监管平台与西安特种设备检验检测院检验系统数据共享交换，数据共享包含但不限于电梯告知、检验业务信息，电梯及其使用单位变更信息等。</w:t>
            </w:r>
          </w:p>
          <w:p>
            <w:pPr>
              <w:pStyle w:val="null3"/>
              <w:jc w:val="both"/>
            </w:pPr>
            <w:r>
              <w:rPr>
                <w:rFonts w:ascii="仿宋_GB2312" w:hAnsi="仿宋_GB2312" w:cs="仿宋_GB2312" w:eastAsia="仿宋_GB2312"/>
                <w:sz w:val="18"/>
                <w:b/>
              </w:rPr>
              <w:t>（二）平台运行维护服务</w:t>
            </w:r>
          </w:p>
          <w:p>
            <w:pPr>
              <w:pStyle w:val="null3"/>
              <w:ind w:firstLine="400"/>
              <w:jc w:val="both"/>
            </w:pPr>
            <w:r>
              <w:rPr>
                <w:rFonts w:ascii="仿宋_GB2312" w:hAnsi="仿宋_GB2312" w:cs="仿宋_GB2312" w:eastAsia="仿宋_GB2312"/>
                <w:sz w:val="18"/>
              </w:rPr>
              <w:t>1.平台安全运行技术服务。</w:t>
            </w:r>
          </w:p>
          <w:p>
            <w:pPr>
              <w:pStyle w:val="null3"/>
              <w:ind w:firstLine="400"/>
              <w:jc w:val="both"/>
            </w:pPr>
            <w:r>
              <w:rPr>
                <w:rFonts w:ascii="仿宋_GB2312" w:hAnsi="仿宋_GB2312" w:cs="仿宋_GB2312" w:eastAsia="仿宋_GB2312"/>
                <w:sz w:val="18"/>
              </w:rPr>
              <w:t>2.平台数据与业务服务。</w:t>
            </w:r>
          </w:p>
          <w:p>
            <w:pPr>
              <w:pStyle w:val="null3"/>
              <w:ind w:firstLine="400"/>
              <w:jc w:val="both"/>
            </w:pPr>
            <w:r>
              <w:rPr>
                <w:rFonts w:ascii="仿宋_GB2312" w:hAnsi="仿宋_GB2312" w:cs="仿宋_GB2312" w:eastAsia="仿宋_GB2312"/>
                <w:sz w:val="18"/>
              </w:rPr>
              <w:t>3.平台短信服务及云服务器租赁</w:t>
            </w:r>
          </w:p>
          <w:p>
            <w:pPr>
              <w:pStyle w:val="null3"/>
              <w:jc w:val="both"/>
            </w:pPr>
            <w:r>
              <w:rPr>
                <w:rFonts w:ascii="仿宋_GB2312" w:hAnsi="仿宋_GB2312" w:cs="仿宋_GB2312" w:eastAsia="仿宋_GB2312"/>
                <w:sz w:val="18"/>
                <w:b/>
              </w:rPr>
              <w:t>（三）数据分析服务</w:t>
            </w:r>
          </w:p>
          <w:p>
            <w:pPr>
              <w:pStyle w:val="null3"/>
              <w:ind w:firstLine="400"/>
              <w:jc w:val="both"/>
            </w:pPr>
            <w:r>
              <w:rPr>
                <w:rFonts w:ascii="仿宋_GB2312" w:hAnsi="仿宋_GB2312" w:cs="仿宋_GB2312" w:eastAsia="仿宋_GB2312"/>
                <w:sz w:val="18"/>
              </w:rPr>
              <w:t>1.按照陕西省特种智慧监管平台数据集成要求，调整数据接口，确保数据集成的唯一性和准确性。为省、市平台数据互通共享提供服务。</w:t>
            </w:r>
          </w:p>
          <w:p>
            <w:pPr>
              <w:pStyle w:val="null3"/>
              <w:ind w:firstLine="400"/>
              <w:jc w:val="both"/>
            </w:pPr>
            <w:r>
              <w:rPr>
                <w:rFonts w:ascii="仿宋_GB2312" w:hAnsi="仿宋_GB2312" w:cs="仿宋_GB2312" w:eastAsia="仿宋_GB2312"/>
                <w:sz w:val="18"/>
              </w:rPr>
              <w:t>2.对西安市锅炉、压力容器、压力管道、电梯、起重机械、客运索道、大型游乐设施、场（厂）内专用机动车辆等特种设备历史数据及后期新增数据，按照特种设备智慧监管与数据分析总屏和分屏的显示维度进行治理、储存，为特种设备安全监管提供数据支撑。</w:t>
            </w:r>
          </w:p>
          <w:p>
            <w:pPr>
              <w:pStyle w:val="null3"/>
              <w:jc w:val="both"/>
            </w:pPr>
            <w:r>
              <w:rPr>
                <w:rFonts w:ascii="仿宋_GB2312" w:hAnsi="仿宋_GB2312" w:cs="仿宋_GB2312" w:eastAsia="仿宋_GB2312"/>
                <w:sz w:val="18"/>
              </w:rPr>
              <w:t xml:space="preserve">  3.不定期为平台各级用户提供西安市锅炉、压力容器、压力管道、电梯、起重机械、客运索道、大型游乐设施、场（厂）内专用机动车辆等特种设备数据统计报表及分析报告，报告包含但不限于周报、月报、年度专项报告等。</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18"/>
                <w:b/>
              </w:rPr>
              <w:t>四、技术规格及质量要求</w:t>
            </w:r>
          </w:p>
          <w:p>
            <w:pPr>
              <w:pStyle w:val="null3"/>
              <w:jc w:val="both"/>
            </w:pPr>
            <w:r>
              <w:rPr>
                <w:rFonts w:ascii="仿宋_GB2312" w:hAnsi="仿宋_GB2312" w:cs="仿宋_GB2312" w:eastAsia="仿宋_GB2312"/>
                <w:sz w:val="18"/>
                <w:b/>
              </w:rPr>
              <w:t>（一）平台功能升级要求</w:t>
            </w:r>
          </w:p>
          <w:p>
            <w:pPr>
              <w:pStyle w:val="null3"/>
              <w:ind w:firstLine="400"/>
              <w:jc w:val="both"/>
            </w:pPr>
            <w:r>
              <w:rPr>
                <w:rFonts w:ascii="仿宋_GB2312" w:hAnsi="仿宋_GB2312" w:cs="仿宋_GB2312" w:eastAsia="仿宋_GB2312"/>
                <w:sz w:val="18"/>
              </w:rPr>
              <w:t>1.平台现有业务功能模块调整要求</w:t>
            </w:r>
          </w:p>
          <w:p>
            <w:pPr>
              <w:pStyle w:val="null3"/>
              <w:ind w:firstLine="400"/>
              <w:jc w:val="both"/>
            </w:pPr>
            <w:r>
              <w:rPr>
                <w:rFonts w:ascii="仿宋_GB2312" w:hAnsi="仿宋_GB2312" w:cs="仿宋_GB2312" w:eastAsia="仿宋_GB2312"/>
                <w:sz w:val="18"/>
              </w:rPr>
              <w:t>（1）业务功能模块调整须兼容现有功能、历史数据、统计指标，且不影响现有业务流程和业务功能使用。</w:t>
            </w:r>
          </w:p>
          <w:p>
            <w:pPr>
              <w:pStyle w:val="null3"/>
              <w:ind w:firstLine="400"/>
              <w:jc w:val="both"/>
            </w:pPr>
            <w:r>
              <w:rPr>
                <w:rFonts w:ascii="仿宋_GB2312" w:hAnsi="仿宋_GB2312" w:cs="仿宋_GB2312" w:eastAsia="仿宋_GB2312"/>
                <w:sz w:val="18"/>
              </w:rPr>
              <w:t>（2）数据接口调整，支持各系统之间数据实时传输和调用、回传。</w:t>
            </w:r>
          </w:p>
          <w:p>
            <w:pPr>
              <w:pStyle w:val="null3"/>
              <w:ind w:firstLine="400"/>
              <w:jc w:val="both"/>
            </w:pPr>
            <w:r>
              <w:rPr>
                <w:rFonts w:ascii="仿宋_GB2312" w:hAnsi="仿宋_GB2312" w:cs="仿宋_GB2312" w:eastAsia="仿宋_GB2312"/>
                <w:sz w:val="18"/>
              </w:rPr>
              <w:t>2.功能开发要求</w:t>
            </w:r>
          </w:p>
          <w:p>
            <w:pPr>
              <w:pStyle w:val="null3"/>
              <w:ind w:firstLine="400"/>
              <w:jc w:val="both"/>
            </w:pPr>
            <w:r>
              <w:rPr>
                <w:rFonts w:ascii="仿宋_GB2312" w:hAnsi="仿宋_GB2312" w:cs="仿宋_GB2312" w:eastAsia="仿宋_GB2312"/>
                <w:sz w:val="18"/>
              </w:rPr>
              <w:t>（1）新增功能应兼容现有系统，数据的实时传输、调用、回传不影响平台功能正常运行。</w:t>
            </w:r>
          </w:p>
          <w:p>
            <w:pPr>
              <w:pStyle w:val="null3"/>
              <w:ind w:firstLine="400"/>
              <w:jc w:val="both"/>
            </w:pPr>
            <w:r>
              <w:rPr>
                <w:rFonts w:ascii="仿宋_GB2312" w:hAnsi="仿宋_GB2312" w:cs="仿宋_GB2312" w:eastAsia="仿宋_GB2312"/>
                <w:sz w:val="18"/>
              </w:rPr>
              <w:t>（2）新增特种设备智慧监管与数据分析总屏可实时动态多维度展示各类指标图形，各分屏与数据库和总屏数据逻辑关系对应，且实用性、操作性强。</w:t>
            </w:r>
          </w:p>
          <w:p>
            <w:pPr>
              <w:pStyle w:val="null3"/>
              <w:ind w:firstLine="400"/>
              <w:jc w:val="both"/>
            </w:pPr>
            <w:r>
              <w:rPr>
                <w:rFonts w:ascii="仿宋_GB2312" w:hAnsi="仿宋_GB2312" w:cs="仿宋_GB2312" w:eastAsia="仿宋_GB2312"/>
                <w:sz w:val="18"/>
              </w:rPr>
              <w:t>（3）进行扩容、新业务扩展时，可以提供快速、方便和准确的实现方式。</w:t>
            </w:r>
          </w:p>
          <w:p>
            <w:pPr>
              <w:pStyle w:val="null3"/>
              <w:ind w:firstLine="400"/>
              <w:jc w:val="both"/>
            </w:pPr>
            <w:r>
              <w:rPr>
                <w:rFonts w:ascii="仿宋_GB2312" w:hAnsi="仿宋_GB2312" w:cs="仿宋_GB2312" w:eastAsia="仿宋_GB2312"/>
                <w:sz w:val="18"/>
              </w:rPr>
              <w:t>（4）各种接口方式应确保其接入的安全性。</w:t>
            </w:r>
          </w:p>
          <w:p>
            <w:pPr>
              <w:pStyle w:val="null3"/>
              <w:ind w:firstLine="400"/>
              <w:jc w:val="both"/>
            </w:pPr>
            <w:r>
              <w:rPr>
                <w:rFonts w:ascii="仿宋_GB2312" w:hAnsi="仿宋_GB2312" w:cs="仿宋_GB2312" w:eastAsia="仿宋_GB2312"/>
                <w:sz w:val="18"/>
              </w:rPr>
              <w:t>（5）在系统的高并发和大容量的基础上数据共享安全可靠。</w:t>
            </w:r>
          </w:p>
          <w:p>
            <w:pPr>
              <w:pStyle w:val="null3"/>
              <w:jc w:val="both"/>
            </w:pPr>
            <w:r>
              <w:rPr>
                <w:rFonts w:ascii="仿宋_GB2312" w:hAnsi="仿宋_GB2312" w:cs="仿宋_GB2312" w:eastAsia="仿宋_GB2312"/>
                <w:sz w:val="18"/>
                <w:b/>
              </w:rPr>
              <w:t>（二）平台运行维护服务要求</w:t>
            </w:r>
          </w:p>
          <w:p>
            <w:pPr>
              <w:pStyle w:val="null3"/>
              <w:ind w:firstLine="400"/>
              <w:jc w:val="both"/>
            </w:pPr>
            <w:r>
              <w:rPr>
                <w:rFonts w:ascii="仿宋_GB2312" w:hAnsi="仿宋_GB2312" w:cs="仿宋_GB2312" w:eastAsia="仿宋_GB2312"/>
                <w:sz w:val="18"/>
              </w:rPr>
              <w:t>1.平台安全运行技术服务要求</w:t>
            </w:r>
          </w:p>
          <w:p>
            <w:pPr>
              <w:pStyle w:val="null3"/>
              <w:ind w:firstLine="400"/>
              <w:jc w:val="both"/>
            </w:pPr>
            <w:r>
              <w:rPr>
                <w:rFonts w:ascii="仿宋_GB2312" w:hAnsi="仿宋_GB2312" w:cs="仿宋_GB2312" w:eastAsia="仿宋_GB2312"/>
                <w:sz w:val="18"/>
              </w:rPr>
              <w:t>平台技术运维服务包含日常性维护，服务器安全运行技术服务、完善性维护，纠错性维护，以及系统安全状况进行跟踪服务。支持已上线的接口服务日常执行跟踪，异常处理，服务器安全运行所需要的日常应用备份、数据库备份、平台更新部署、系统调优等。</w:t>
            </w:r>
          </w:p>
          <w:p>
            <w:pPr>
              <w:pStyle w:val="null3"/>
              <w:ind w:firstLine="400"/>
              <w:jc w:val="both"/>
            </w:pPr>
            <w:r>
              <w:rPr>
                <w:rFonts w:ascii="仿宋_GB2312" w:hAnsi="仿宋_GB2312" w:cs="仿宋_GB2312" w:eastAsia="仿宋_GB2312"/>
                <w:sz w:val="18"/>
              </w:rPr>
              <w:t>2.平台数据与业务服务要求</w:t>
            </w:r>
          </w:p>
          <w:p>
            <w:pPr>
              <w:pStyle w:val="null3"/>
              <w:ind w:firstLine="400"/>
              <w:jc w:val="both"/>
            </w:pPr>
            <w:r>
              <w:rPr>
                <w:rFonts w:ascii="仿宋_GB2312" w:hAnsi="仿宋_GB2312" w:cs="仿宋_GB2312" w:eastAsia="仿宋_GB2312"/>
                <w:sz w:val="18"/>
              </w:rPr>
              <w:t>平台使用过程中出现的异常数据处理、数据接口管理以及数据质量管理，对业务执行过程中的异常数据进行修正，如误操作、误审批、错误录入数据等情况处理工作，校正现有差异数据。完善用户使用手册、制作平台使用操作视频，准确提供业务指导、系统操作、流程咨询类问题的解答服务，提供7*24小时的业务技术支持应急响应服务。</w:t>
            </w:r>
          </w:p>
          <w:p>
            <w:pPr>
              <w:pStyle w:val="null3"/>
              <w:ind w:firstLine="400"/>
              <w:jc w:val="both"/>
            </w:pPr>
            <w:r>
              <w:rPr>
                <w:rFonts w:ascii="仿宋_GB2312" w:hAnsi="仿宋_GB2312" w:cs="仿宋_GB2312" w:eastAsia="仿宋_GB2312"/>
                <w:sz w:val="18"/>
              </w:rPr>
              <w:t>3.平台短信服务及云服务器租赁</w:t>
            </w:r>
          </w:p>
          <w:p>
            <w:pPr>
              <w:pStyle w:val="null3"/>
              <w:ind w:firstLine="400"/>
              <w:jc w:val="both"/>
            </w:pPr>
            <w:r>
              <w:rPr>
                <w:rFonts w:ascii="仿宋_GB2312" w:hAnsi="仿宋_GB2312" w:cs="仿宋_GB2312" w:eastAsia="仿宋_GB2312"/>
                <w:sz w:val="18"/>
              </w:rPr>
              <w:t>平台短信服务短信及云主机服务器租赁服务按照采购人相关要求执行。</w:t>
            </w:r>
          </w:p>
          <w:p>
            <w:pPr>
              <w:pStyle w:val="null3"/>
              <w:jc w:val="both"/>
            </w:pPr>
            <w:r>
              <w:rPr>
                <w:rFonts w:ascii="仿宋_GB2312" w:hAnsi="仿宋_GB2312" w:cs="仿宋_GB2312" w:eastAsia="仿宋_GB2312"/>
                <w:sz w:val="18"/>
                <w:b/>
              </w:rPr>
              <w:t>（三）数据分析服务要求</w:t>
            </w:r>
          </w:p>
          <w:p>
            <w:pPr>
              <w:pStyle w:val="null3"/>
              <w:ind w:firstLine="400"/>
              <w:jc w:val="both"/>
            </w:pPr>
            <w:r>
              <w:rPr>
                <w:rFonts w:ascii="仿宋_GB2312" w:hAnsi="仿宋_GB2312" w:cs="仿宋_GB2312" w:eastAsia="仿宋_GB2312"/>
                <w:sz w:val="18"/>
              </w:rPr>
              <w:t>1.提供完善的信息安全机制，实现对信息的全面保护，防止大量访问，以及大量占用资源的情况发生，保证系统的正常运行。</w:t>
            </w:r>
          </w:p>
          <w:p>
            <w:pPr>
              <w:pStyle w:val="null3"/>
              <w:ind w:firstLine="400"/>
              <w:jc w:val="both"/>
            </w:pPr>
            <w:r>
              <w:rPr>
                <w:rFonts w:ascii="仿宋_GB2312" w:hAnsi="仿宋_GB2312" w:cs="仿宋_GB2312" w:eastAsia="仿宋_GB2312"/>
                <w:sz w:val="18"/>
              </w:rPr>
              <w:t>2.提供有效的系统的可监控机制，实现接口的运行情况可监控，便于及时发现错误及排除故障。</w:t>
            </w:r>
          </w:p>
          <w:p>
            <w:pPr>
              <w:pStyle w:val="null3"/>
              <w:jc w:val="both"/>
            </w:pPr>
            <w:r>
              <w:rPr>
                <w:rFonts w:ascii="仿宋_GB2312" w:hAnsi="仿宋_GB2312" w:cs="仿宋_GB2312" w:eastAsia="仿宋_GB2312"/>
                <w:sz w:val="18"/>
                <w:b/>
              </w:rPr>
              <w:t>（四）实施团队要求</w:t>
            </w:r>
          </w:p>
          <w:p>
            <w:pPr>
              <w:pStyle w:val="null3"/>
              <w:jc w:val="both"/>
            </w:pPr>
            <w:r>
              <w:rPr>
                <w:rFonts w:ascii="仿宋_GB2312" w:hAnsi="仿宋_GB2312" w:cs="仿宋_GB2312" w:eastAsia="仿宋_GB2312"/>
                <w:sz w:val="18"/>
              </w:rPr>
              <w:t xml:space="preserve">  1.供应商应详细说明实施本项目拟采用的团队组织方法和具体组织机构，保证在此应用软件开发期间有足够的人力投入，并提交与本项目规模相符的项目组人员名单和简历（含供应商为项目组人员缴纳的近三个月社保证明）。</w:t>
            </w:r>
          </w:p>
          <w:p>
            <w:pPr>
              <w:pStyle w:val="null3"/>
              <w:jc w:val="both"/>
            </w:pPr>
            <w:r>
              <w:rPr>
                <w:rFonts w:ascii="仿宋_GB2312" w:hAnsi="仿宋_GB2312" w:cs="仿宋_GB2312" w:eastAsia="仿宋_GB2312"/>
                <w:sz w:val="18"/>
              </w:rPr>
              <w:t xml:space="preserve">  2.供应商提供的项目组人员名单需与后期签订的合同约定及项目实施团队人员一致，若确实需要更换项目组人员，则替换人员的资质需不低于被替换人的资质。</w:t>
            </w:r>
          </w:p>
          <w:p>
            <w:pPr>
              <w:pStyle w:val="null3"/>
              <w:jc w:val="both"/>
            </w:pPr>
            <w:r>
              <w:rPr>
                <w:rFonts w:ascii="仿宋_GB2312" w:hAnsi="仿宋_GB2312" w:cs="仿宋_GB2312" w:eastAsia="仿宋_GB2312"/>
                <w:sz w:val="18"/>
              </w:rPr>
              <w:t xml:space="preserve">  3.供应商项目经理应具有特种设备相关项目管理经验，技术负责人员应具有3年以上相关业务平台开发、分析、设计经验。</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18"/>
                <w:b/>
              </w:rPr>
              <w:t>五、质量保证及售后服务</w:t>
            </w:r>
          </w:p>
          <w:p>
            <w:pPr>
              <w:pStyle w:val="null3"/>
              <w:jc w:val="both"/>
            </w:pPr>
            <w:r>
              <w:rPr>
                <w:rFonts w:ascii="仿宋_GB2312" w:hAnsi="仿宋_GB2312" w:cs="仿宋_GB2312" w:eastAsia="仿宋_GB2312"/>
                <w:sz w:val="18"/>
                <w:b/>
              </w:rPr>
              <w:t>（一）质量保证</w:t>
            </w:r>
          </w:p>
          <w:p>
            <w:pPr>
              <w:pStyle w:val="null3"/>
              <w:ind w:firstLine="400"/>
              <w:jc w:val="both"/>
            </w:pPr>
            <w:r>
              <w:rPr>
                <w:rFonts w:ascii="仿宋_GB2312" w:hAnsi="仿宋_GB2312" w:cs="仿宋_GB2312" w:eastAsia="仿宋_GB2312"/>
                <w:sz w:val="18"/>
              </w:rPr>
              <w:t>在服务期内供应商应针对本项目提供项目实施、质量管理、风险管理计划，并坚持实施，确保项目质量。</w:t>
            </w:r>
          </w:p>
          <w:p>
            <w:pPr>
              <w:pStyle w:val="null3"/>
              <w:jc w:val="both"/>
            </w:pPr>
            <w:r>
              <w:rPr>
                <w:rFonts w:ascii="仿宋_GB2312" w:hAnsi="仿宋_GB2312" w:cs="仿宋_GB2312" w:eastAsia="仿宋_GB2312"/>
                <w:sz w:val="18"/>
                <w:b/>
              </w:rPr>
              <w:t>（二）技术升级</w:t>
            </w:r>
          </w:p>
          <w:p>
            <w:pPr>
              <w:pStyle w:val="null3"/>
              <w:ind w:firstLine="400"/>
              <w:jc w:val="both"/>
            </w:pPr>
            <w:r>
              <w:rPr>
                <w:rFonts w:ascii="仿宋_GB2312" w:hAnsi="仿宋_GB2312" w:cs="仿宋_GB2312" w:eastAsia="仿宋_GB2312"/>
                <w:sz w:val="18"/>
              </w:rPr>
              <w:t>在维护服务期内，如果供应商的产品技术升级，供应商应及时通知采购人，如采购人有相应要求，供应商和厂家应对采购人进行免费软件升级服务，并以优惠价格提供硬件升级。</w:t>
            </w:r>
          </w:p>
          <w:p>
            <w:pPr>
              <w:pStyle w:val="null3"/>
              <w:jc w:val="both"/>
            </w:pPr>
            <w:r>
              <w:rPr>
                <w:rFonts w:ascii="仿宋_GB2312" w:hAnsi="仿宋_GB2312" w:cs="仿宋_GB2312" w:eastAsia="仿宋_GB2312"/>
                <w:sz w:val="18"/>
                <w:b/>
              </w:rPr>
              <w:t>（三）售后服务</w:t>
            </w:r>
          </w:p>
          <w:p>
            <w:pPr>
              <w:pStyle w:val="null3"/>
              <w:ind w:firstLine="400"/>
              <w:jc w:val="both"/>
            </w:pPr>
            <w:r>
              <w:rPr>
                <w:rFonts w:ascii="仿宋_GB2312" w:hAnsi="仿宋_GB2312" w:cs="仿宋_GB2312" w:eastAsia="仿宋_GB2312"/>
                <w:sz w:val="18"/>
              </w:rPr>
              <w:t>1.供应商应提供系统升级、调整、新增功能说明，更新操作手册中升级相关内容，根据情况对用户进行现场或远程培训。</w:t>
            </w:r>
          </w:p>
          <w:p>
            <w:pPr>
              <w:pStyle w:val="null3"/>
              <w:ind w:firstLine="400"/>
              <w:jc w:val="both"/>
            </w:pPr>
            <w:r>
              <w:rPr>
                <w:rFonts w:ascii="仿宋_GB2312" w:hAnsi="仿宋_GB2312" w:cs="仿宋_GB2312" w:eastAsia="仿宋_GB2312"/>
                <w:sz w:val="18"/>
              </w:rPr>
              <w:t>2.服务期内服务内容。供应商在服务期内应当为采购人提供用户提供技术援助电话，解答用户在使用中遇到的问题，及时为用户提出解决问题的建议；用户遇到使用及技术问题，电话咨询不能解决的，供应商应在2小时内采取相应响应措施；无法在2小时内解决的，应在4小时内派出专业人员进行技术支持。</w:t>
            </w:r>
          </w:p>
          <w:p>
            <w:pPr>
              <w:pStyle w:val="null3"/>
              <w:ind w:firstLine="400"/>
              <w:jc w:val="both"/>
            </w:pPr>
            <w:r>
              <w:rPr>
                <w:rFonts w:ascii="仿宋_GB2312" w:hAnsi="仿宋_GB2312" w:cs="仿宋_GB2312" w:eastAsia="仿宋_GB2312"/>
                <w:sz w:val="18"/>
              </w:rPr>
              <w:t>3.服务期外服务要求。服务期满后，供应商应同样提供免费电话咨询服务，并应承诺提供上门维护服务；服务期满后，采购人需要继续由供应商提供售后服务的，在双方无异议的情况下可以按照上年度的服务内容和费用续签服务协议。</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18"/>
                <w:b/>
              </w:rPr>
              <w:t>六、商务需求</w:t>
            </w:r>
          </w:p>
          <w:p>
            <w:pPr>
              <w:pStyle w:val="null3"/>
              <w:jc w:val="both"/>
            </w:pPr>
            <w:r>
              <w:rPr>
                <w:rFonts w:ascii="仿宋_GB2312" w:hAnsi="仿宋_GB2312" w:cs="仿宋_GB2312" w:eastAsia="仿宋_GB2312"/>
                <w:sz w:val="18"/>
                <w:b/>
              </w:rPr>
              <w:t>（一）服务期限</w:t>
            </w:r>
          </w:p>
          <w:p>
            <w:pPr>
              <w:pStyle w:val="null3"/>
              <w:jc w:val="left"/>
            </w:pPr>
            <w:r>
              <w:rPr>
                <w:rFonts w:ascii="仿宋_GB2312" w:hAnsi="仿宋_GB2312" w:cs="仿宋_GB2312" w:eastAsia="仿宋_GB2312"/>
                <w:sz w:val="18"/>
              </w:rPr>
              <w:t xml:space="preserve">   1.平台建设期：合同签订后，于2025年7月31日前，完成平台功能升级、开发以及验收。</w:t>
            </w:r>
          </w:p>
          <w:p>
            <w:pPr>
              <w:pStyle w:val="null3"/>
              <w:jc w:val="both"/>
            </w:pPr>
            <w:r>
              <w:rPr>
                <w:rFonts w:ascii="仿宋_GB2312" w:hAnsi="仿宋_GB2312" w:cs="仿宋_GB2312" w:eastAsia="仿宋_GB2312"/>
                <w:sz w:val="18"/>
              </w:rPr>
              <w:t xml:space="preserve">   2.运行维护期：运行维护期截止2025年12月31日。</w:t>
            </w:r>
          </w:p>
          <w:p>
            <w:pPr>
              <w:pStyle w:val="null3"/>
              <w:jc w:val="both"/>
            </w:pPr>
            <w:r>
              <w:rPr>
                <w:rFonts w:ascii="仿宋_GB2312" w:hAnsi="仿宋_GB2312" w:cs="仿宋_GB2312" w:eastAsia="仿宋_GB2312"/>
                <w:sz w:val="18"/>
                <w:b/>
              </w:rPr>
              <w:t>（二）服务终止</w:t>
            </w:r>
          </w:p>
          <w:p>
            <w:pPr>
              <w:pStyle w:val="null3"/>
              <w:ind w:firstLine="400"/>
              <w:jc w:val="both"/>
            </w:pPr>
            <w:r>
              <w:rPr>
                <w:rFonts w:ascii="仿宋_GB2312" w:hAnsi="仿宋_GB2312" w:cs="仿宋_GB2312" w:eastAsia="仿宋_GB2312"/>
                <w:sz w:val="18"/>
              </w:rPr>
              <w:t>在服务期内，如供应商在人员配置、作业管理、质量控制、科学高效、便捷服务等各方面不能满足采购文件的相关要求或没有实现投标文件中的相关承诺，采购人有权单方面解除合同，并保留追究违约责任。并将违约情况上报财政部门列入政府采购失信名单。</w:t>
            </w:r>
          </w:p>
          <w:p>
            <w:pPr>
              <w:pStyle w:val="null3"/>
              <w:jc w:val="both"/>
            </w:pPr>
            <w:r>
              <w:rPr>
                <w:rFonts w:ascii="仿宋_GB2312" w:hAnsi="仿宋_GB2312" w:cs="仿宋_GB2312" w:eastAsia="仿宋_GB2312"/>
                <w:sz w:val="18"/>
                <w:b/>
              </w:rPr>
              <w:t>（三）完成服务成果</w:t>
            </w:r>
          </w:p>
          <w:p>
            <w:pPr>
              <w:pStyle w:val="null3"/>
              <w:ind w:firstLine="400"/>
              <w:jc w:val="both"/>
            </w:pPr>
            <w:r>
              <w:rPr>
                <w:rFonts w:ascii="仿宋_GB2312" w:hAnsi="仿宋_GB2312" w:cs="仿宋_GB2312" w:eastAsia="仿宋_GB2312"/>
                <w:sz w:val="18"/>
              </w:rPr>
              <w:t>1.2025年7月31日前，完成功能调整和新增功能。在现有系统部署环境的运行测试及测试报告和新增功能的使用手册。</w:t>
            </w:r>
          </w:p>
          <w:p>
            <w:pPr>
              <w:pStyle w:val="null3"/>
              <w:ind w:firstLine="400"/>
              <w:jc w:val="both"/>
            </w:pPr>
            <w:r>
              <w:rPr>
                <w:rFonts w:ascii="仿宋_GB2312" w:hAnsi="仿宋_GB2312" w:cs="仿宋_GB2312" w:eastAsia="仿宋_GB2312"/>
                <w:sz w:val="18"/>
              </w:rPr>
              <w:t>2.制作新增功能及业务功能模块调整、升级后的操作使说明，适时开展使用培训，为用户提供便利服务。</w:t>
            </w:r>
          </w:p>
          <w:p>
            <w:pPr>
              <w:pStyle w:val="null3"/>
              <w:ind w:firstLine="400"/>
              <w:jc w:val="both"/>
            </w:pPr>
            <w:r>
              <w:rPr>
                <w:rFonts w:ascii="仿宋_GB2312" w:hAnsi="仿宋_GB2312" w:cs="仿宋_GB2312" w:eastAsia="仿宋_GB2312"/>
                <w:sz w:val="18"/>
              </w:rPr>
              <w:t>3.服务期内完成平台安全运行技术、数据、业务运维服务，确保软件系统的稳定性和可用性，提高用户满意度和业务连续性。</w:t>
            </w:r>
          </w:p>
          <w:p>
            <w:pPr>
              <w:pStyle w:val="null3"/>
              <w:ind w:firstLine="400"/>
              <w:jc w:val="both"/>
            </w:pPr>
            <w:r>
              <w:rPr>
                <w:rFonts w:ascii="仿宋_GB2312" w:hAnsi="仿宋_GB2312" w:cs="仿宋_GB2312" w:eastAsia="仿宋_GB2312"/>
                <w:sz w:val="18"/>
              </w:rPr>
              <w:t>4.服务期内为平台各级用户提供多维度特种设备数据分析报告，报告包含但不限于周报、月报、年度专项报告等。</w:t>
            </w:r>
          </w:p>
          <w:p>
            <w:pPr>
              <w:pStyle w:val="null3"/>
              <w:jc w:val="both"/>
            </w:pPr>
            <w:r>
              <w:rPr>
                <w:rFonts w:ascii="仿宋_GB2312" w:hAnsi="仿宋_GB2312" w:cs="仿宋_GB2312" w:eastAsia="仿宋_GB2312"/>
                <w:sz w:val="18"/>
                <w:b/>
              </w:rPr>
              <w:t>（四）知识产权</w:t>
            </w:r>
          </w:p>
          <w:p>
            <w:pPr>
              <w:pStyle w:val="null3"/>
              <w:ind w:firstLine="400"/>
              <w:jc w:val="both"/>
            </w:pPr>
            <w:r>
              <w:rPr>
                <w:rFonts w:ascii="仿宋_GB2312" w:hAnsi="仿宋_GB2312" w:cs="仿宋_GB2312" w:eastAsia="仿宋_GB2312"/>
                <w:sz w:val="18"/>
              </w:rPr>
              <w:t>1.采购人在中华人民共和国境内使用供应商提供的货物及服务时免受第三方提出的侵犯其专利权或其它知识产权的起诉。如果第三方提出侵权指控，供应商应承担由此而引起的一切法律责任和费用。（注：若涉及软件开发等服务类项目知识产权的，知识产权归采购人和供应商所有）。</w:t>
            </w:r>
          </w:p>
          <w:p>
            <w:pPr>
              <w:pStyle w:val="null3"/>
              <w:ind w:firstLine="400"/>
              <w:jc w:val="both"/>
            </w:pPr>
            <w:r>
              <w:rPr>
                <w:rFonts w:ascii="仿宋_GB2312" w:hAnsi="仿宋_GB2312" w:cs="仿宋_GB2312" w:eastAsia="仿宋_GB2312"/>
                <w:sz w:val="18"/>
              </w:rPr>
              <w:t>2.其他未尽事宜由供需双方在采购合同中详细约定。</w:t>
            </w:r>
          </w:p>
          <w:p>
            <w:pPr>
              <w:pStyle w:val="null3"/>
              <w:jc w:val="both"/>
            </w:pPr>
            <w:r>
              <w:rPr>
                <w:rFonts w:ascii="仿宋_GB2312" w:hAnsi="仿宋_GB2312" w:cs="仿宋_GB2312" w:eastAsia="仿宋_GB2312"/>
                <w:sz w:val="18"/>
                <w:b/>
              </w:rPr>
              <w:t>（五）验收方式</w:t>
            </w:r>
          </w:p>
          <w:p>
            <w:pPr>
              <w:pStyle w:val="null3"/>
              <w:ind w:firstLine="400"/>
              <w:jc w:val="both"/>
            </w:pPr>
            <w:r>
              <w:rPr>
                <w:rFonts w:ascii="仿宋_GB2312" w:hAnsi="仿宋_GB2312" w:cs="仿宋_GB2312" w:eastAsia="仿宋_GB2312"/>
                <w:sz w:val="18"/>
              </w:rPr>
              <w:t>供应商项目完成后，提出验收申请，采购人组织相关部门对本平台的使用情况进行验收，如果验收通过则认为本项目验收合格；否则提出整改意见，供应商需在1个月内整改完成，整改完成后再次提出验收申请，采购人组织相关部门对本平台的使用情况进行二次验收，如果验收通过则认为本项目验收合格，否则认为本项目验收不合格，供应商承担全部损失。</w:t>
            </w:r>
          </w:p>
          <w:p>
            <w:pPr>
              <w:pStyle w:val="null3"/>
              <w:jc w:val="both"/>
            </w:pPr>
            <w:r>
              <w:rPr>
                <w:rFonts w:ascii="仿宋_GB2312" w:hAnsi="仿宋_GB2312" w:cs="仿宋_GB2312" w:eastAsia="仿宋_GB2312"/>
                <w:sz w:val="18"/>
                <w:b/>
              </w:rPr>
              <w:t>七、特别提醒</w:t>
            </w:r>
          </w:p>
          <w:p>
            <w:pPr>
              <w:pStyle w:val="null3"/>
              <w:jc w:val="both"/>
            </w:pPr>
            <w:r>
              <w:rPr>
                <w:rFonts w:ascii="仿宋_GB2312" w:hAnsi="仿宋_GB2312" w:cs="仿宋_GB2312" w:eastAsia="仿宋_GB2312"/>
                <w:sz w:val="18"/>
              </w:rPr>
              <w:t>（一）本项目是升级项目，供应商应在现有的西安市电梯信息化（智慧）监管平台及数据库基础上进行升级，需保证现有平台的正常平稳运行，完全保留和使用现有平台的数据及文件资源，并需与目前正在使用的系统模块无缝集成。若供应商使用目前在用框架等集成代码，且需要原开发商提供技术配合的，技术配合费用由供应商自行承担。</w:t>
            </w:r>
          </w:p>
          <w:p>
            <w:pPr>
              <w:pStyle w:val="null3"/>
              <w:jc w:val="both"/>
            </w:pPr>
            <w:r>
              <w:rPr>
                <w:rFonts w:ascii="仿宋_GB2312" w:hAnsi="仿宋_GB2312" w:cs="仿宋_GB2312" w:eastAsia="仿宋_GB2312"/>
                <w:sz w:val="18"/>
              </w:rPr>
              <w:t>（二）本项目升级、开发新增功能的内容、技术规格及质量要求、质量保证及售后服务内容等包含但不限于上述内容。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供应商针对本项目配备专业团队。</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满足项目所需设备要求。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1.平台建设期：合同签订后，于2025年7月31日前，完成平台功能升级、开发以及验收。 2.运行维护期：运行维护期截止2025年12月31日。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合同生效后于2025年7月31日前，乙方完成平台功能升级、开发，并书面向甲方提出验收申请，甲方在 5 日内组织验收，验收通过后，甲方于 5 日内，向乙方支付合同的剩余款项</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供应商务必在响应文件提交截止时间30分钟前，通过项目电子化交易系统进行签到，如未进行签到，产生的一起后果由供应商自行承担。 2、磋商时无需提供纸质响应文件，成交供应商在领取成交通知书时提供纸质响应文件两份，纸质版文件须是电子化交易平台系统生成的响应文件。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具有良好的商业信誉和健全的财务会计制度（供应商应提供2023年或2024年经审计的财务报告（须赋验证码）（成立时间至提交磋商响应文件截止时间不足一年的可提供成立以来的资产负债表），或磋商截止之日前三个月内银行开具的资信证明，或信用担保机构出具的担保函（以上三种形式的资料提供任何一种即可）； （3）具有履行合同所必需的设备和专业技术能力的证明材料或承诺书； （4）具有依法缴纳税收和社会保障资金的良好记录相关证明材料（提供磋商截止之日前六个月内任意一个月的缴费凭据或提供相关主管部门出具的缴纳证明）。依法免缴的供应商须提供相应文件证明其依法免缴； （5）参加政府采购活动前三年内，在经营活动中没有重大违法记录的书面声明。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供应商应提供2023年或2024年经审计的财务报告（须赋验证码）（成立时间至提交磋商响应文件截止时间不足一年的可提供成立以来的资产负债表），或磋商截止之日前三个月内银行开具的资信证明，或信用担保机构出具的担保函。（以上三种形式的资料提供任何一种即可）</w:t>
            </w:r>
          </w:p>
        </w:tc>
        <w:tc>
          <w:tcPr>
            <w:tcW w:type="dxa" w:w="1661"/>
          </w:tcPr>
          <w:p>
            <w:pPr>
              <w:pStyle w:val="null3"/>
            </w:pPr>
            <w:r>
              <w:rPr>
                <w:rFonts w:ascii="仿宋_GB2312" w:hAnsi="仿宋_GB2312" w:cs="仿宋_GB2312" w:eastAsia="仿宋_GB2312"/>
              </w:rPr>
              <w:t>响应函 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磋商授权</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被授权人的参保缴费证明（须赋可查询的验证编号或验证二维码）</w:t>
            </w:r>
          </w:p>
        </w:tc>
        <w:tc>
          <w:tcPr>
            <w:tcW w:type="dxa" w:w="1661"/>
          </w:tcPr>
          <w:p>
            <w:pPr>
              <w:pStyle w:val="null3"/>
            </w:pPr>
            <w:r>
              <w:rPr>
                <w:rFonts w:ascii="仿宋_GB2312" w:hAnsi="仿宋_GB2312" w:cs="仿宋_GB2312" w:eastAsia="仿宋_GB2312"/>
              </w:rPr>
              <w:t>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首次报价明细表.docx 标的清单 报价表 首次磋商响应报价表.docx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盖章</w:t>
            </w:r>
          </w:p>
        </w:tc>
        <w:tc>
          <w:tcPr>
            <w:tcW w:type="dxa" w:w="3322"/>
          </w:tcPr>
          <w:p>
            <w:pPr>
              <w:pStyle w:val="null3"/>
            </w:pPr>
            <w:r>
              <w:rPr>
                <w:rFonts w:ascii="仿宋_GB2312" w:hAnsi="仿宋_GB2312" w:cs="仿宋_GB2312" w:eastAsia="仿宋_GB2312"/>
              </w:rPr>
              <w:t>磋商响应文件加盖供应商单位公章</w:t>
            </w:r>
          </w:p>
        </w:tc>
        <w:tc>
          <w:tcPr>
            <w:tcW w:type="dxa" w:w="1661"/>
          </w:tcPr>
          <w:p>
            <w:pPr>
              <w:pStyle w:val="null3"/>
            </w:pPr>
            <w:r>
              <w:rPr>
                <w:rFonts w:ascii="仿宋_GB2312" w:hAnsi="仿宋_GB2312" w:cs="仿宋_GB2312" w:eastAsia="仿宋_GB2312"/>
              </w:rPr>
              <w:t>中小企业声明函 详细评审--重点、难点分析与解决方案.docx 报价表 采购需求偏离表.docx 详细评审--运营及维护方案.docx 供应商承诺书.docx 资格证明资料.docx 响应文件封面 商务要求（合同草案条款）偏离表.docx 详细评审--业绩.docx 详细评审--技术方案.docx 残疾人福利性单位声明函 详细评审--服务质量保证.docx 首次报价明细表.docx 标的清单 响应函 首次磋商响应报价表.docx 详细评审--技术分析.docx 详细评审--项目团队配置.docx 监狱企业的证明文件 详细评审--保障方案.docx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w:t>
            </w:r>
          </w:p>
        </w:tc>
        <w:tc>
          <w:tcPr>
            <w:tcW w:type="dxa" w:w="3322"/>
          </w:tcPr>
          <w:p>
            <w:pPr>
              <w:pStyle w:val="null3"/>
            </w:pPr>
            <w:r>
              <w:rPr>
                <w:rFonts w:ascii="仿宋_GB2312" w:hAnsi="仿宋_GB2312" w:cs="仿宋_GB2312" w:eastAsia="仿宋_GB2312"/>
              </w:rPr>
              <w:t>磋商响应文件按磋商文件要求法定代表人（或负责人）或其授权代表签字</w:t>
            </w:r>
          </w:p>
        </w:tc>
        <w:tc>
          <w:tcPr>
            <w:tcW w:type="dxa" w:w="1661"/>
          </w:tcPr>
          <w:p>
            <w:pPr>
              <w:pStyle w:val="null3"/>
            </w:pPr>
            <w:r>
              <w:rPr>
                <w:rFonts w:ascii="仿宋_GB2312" w:hAnsi="仿宋_GB2312" w:cs="仿宋_GB2312" w:eastAsia="仿宋_GB2312"/>
              </w:rPr>
              <w:t>中小企业声明函 报价表 采购需求偏离表.docx 供应商承诺书.docx 资格证明资料.docx 响应文件封面 商务要求（合同草案条款）偏离表.docx 残疾人福利性单位声明函 首次报价明细表.docx 标的清单 响应函 首次磋商响应报价表.docx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响应函 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供应商磋商报价未出现选择性报价</w:t>
            </w:r>
          </w:p>
        </w:tc>
        <w:tc>
          <w:tcPr>
            <w:tcW w:type="dxa" w:w="1661"/>
          </w:tcPr>
          <w:p>
            <w:pPr>
              <w:pStyle w:val="null3"/>
            </w:pPr>
            <w:r>
              <w:rPr>
                <w:rFonts w:ascii="仿宋_GB2312" w:hAnsi="仿宋_GB2312" w:cs="仿宋_GB2312" w:eastAsia="仿宋_GB2312"/>
              </w:rPr>
              <w:t>首次报价明细表.docx 标的清单 报价表 首次磋商响应报价表.docx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报价不得超出采购预算或最高限价</w:t>
            </w:r>
          </w:p>
        </w:tc>
        <w:tc>
          <w:tcPr>
            <w:tcW w:type="dxa" w:w="3322"/>
          </w:tcPr>
          <w:p>
            <w:pPr>
              <w:pStyle w:val="null3"/>
            </w:pPr>
            <w:r>
              <w:rPr>
                <w:rFonts w:ascii="仿宋_GB2312" w:hAnsi="仿宋_GB2312" w:cs="仿宋_GB2312" w:eastAsia="仿宋_GB2312"/>
              </w:rPr>
              <w:t>磋商报价未超出采购预算或最高限价</w:t>
            </w:r>
          </w:p>
        </w:tc>
        <w:tc>
          <w:tcPr>
            <w:tcW w:type="dxa" w:w="1661"/>
          </w:tcPr>
          <w:p>
            <w:pPr>
              <w:pStyle w:val="null3"/>
            </w:pPr>
            <w:r>
              <w:rPr>
                <w:rFonts w:ascii="仿宋_GB2312" w:hAnsi="仿宋_GB2312" w:cs="仿宋_GB2312" w:eastAsia="仿宋_GB2312"/>
              </w:rPr>
              <w:t>首次报价明细表.docx 标的清单 报价表 首次磋商响应报价表.docx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响应文件中技术、服务内容须达到采购要求，不得出现重大负偏差，降低服务要求</w:t>
            </w:r>
          </w:p>
        </w:tc>
        <w:tc>
          <w:tcPr>
            <w:tcW w:type="dxa" w:w="3322"/>
          </w:tcPr>
          <w:p>
            <w:pPr>
              <w:pStyle w:val="null3"/>
            </w:pPr>
            <w:r>
              <w:rPr>
                <w:rFonts w:ascii="仿宋_GB2312" w:hAnsi="仿宋_GB2312" w:cs="仿宋_GB2312" w:eastAsia="仿宋_GB2312"/>
              </w:rPr>
              <w:t>技术、服务内容达到采购要求，未出现重大负偏差，未降低了服务要求</w:t>
            </w:r>
          </w:p>
        </w:tc>
        <w:tc>
          <w:tcPr>
            <w:tcW w:type="dxa" w:w="1661"/>
          </w:tcPr>
          <w:p>
            <w:pPr>
              <w:pStyle w:val="null3"/>
            </w:pPr>
            <w:r>
              <w:rPr>
                <w:rFonts w:ascii="仿宋_GB2312" w:hAnsi="仿宋_GB2312" w:cs="仿宋_GB2312" w:eastAsia="仿宋_GB2312"/>
              </w:rPr>
              <w:t>采购需求偏离表.docx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响应文件中不得附加了采购人难以接受的条件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商务要求（合同草案条款）偏离表.docx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技术分析</w:t>
            </w:r>
          </w:p>
        </w:tc>
        <w:tc>
          <w:tcPr>
            <w:tcW w:type="dxa" w:w="2492"/>
          </w:tcPr>
          <w:p>
            <w:pPr>
              <w:pStyle w:val="null3"/>
            </w:pPr>
            <w:r>
              <w:rPr>
                <w:rFonts w:ascii="仿宋_GB2312" w:hAnsi="仿宋_GB2312" w:cs="仿宋_GB2312" w:eastAsia="仿宋_GB2312"/>
              </w:rPr>
              <w:t>根据供应商提供的对本项目的业务需求理解、平台架构设计思路，2个方面进行评审。 评审标准：需求阐述科学、合理，理解透彻，设计思路全面、准确，切实可行，满足技术标准要求（共2项，满分10分）。 （1）满足项目需求及评审标准的，每项得5分; （2）符合项目需求，需求分析可行的，每项得3分; （3）需求分析不妥待完善的，每项得1分;未提供不得分。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详细评审--技术分析.docx</w:t>
            </w:r>
          </w:p>
        </w:tc>
      </w:tr>
      <w:tr>
        <w:tc>
          <w:tcPr>
            <w:tcW w:type="dxa" w:w="831"/>
            <w:vMerge/>
          </w:tcPr>
          <w:p/>
        </w:tc>
        <w:tc>
          <w:tcPr>
            <w:tcW w:type="dxa" w:w="1661"/>
          </w:tcPr>
          <w:p>
            <w:pPr>
              <w:pStyle w:val="null3"/>
            </w:pPr>
            <w:r>
              <w:rPr>
                <w:rFonts w:ascii="仿宋_GB2312" w:hAnsi="仿宋_GB2312" w:cs="仿宋_GB2312" w:eastAsia="仿宋_GB2312"/>
              </w:rPr>
              <w:t>重点、难点分析与解决方案</w:t>
            </w:r>
          </w:p>
        </w:tc>
        <w:tc>
          <w:tcPr>
            <w:tcW w:type="dxa" w:w="2492"/>
          </w:tcPr>
          <w:p>
            <w:pPr>
              <w:pStyle w:val="null3"/>
            </w:pPr>
            <w:r>
              <w:rPr>
                <w:rFonts w:ascii="仿宋_GB2312" w:hAnsi="仿宋_GB2312" w:cs="仿宋_GB2312" w:eastAsia="仿宋_GB2312"/>
              </w:rPr>
              <w:t>根据供应商提供的对项目实施重点和难点的分析及解决方案进行评审。 评审标准：方案描述详细，条理清晰，切实可行，满足技术标准要求（共1项，满分5分）。 （1）满足项目需求及评审标准的，每项得5分； （2）符合项目需求，方案可行的，每项得3分； （3）方案不妥待完善的，每项得1分；未提供不得分。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详细评审--重点、难点分析与解决方案.docx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根据供应商提供的平台升级方案、功能开发方案、系统及数据对接方案，3个方面进行评审。 评审标准：方案科学、合理，内容完整、全面，切实可行，体现系统配置的可靠性、安全性、兼容性、实用性以及可扩充性原则，满足技术标准要求（共3项，满分15分）。 （1）满足项目需求及评审标准的，每项得5分; （2）符合项目需求，方案内容可行的，每项得3分; （3）方案不妥待完善的，每项得1分;未提供不得分。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详细评审--技术方案.docx</w:t>
            </w:r>
          </w:p>
        </w:tc>
      </w:tr>
      <w:tr>
        <w:tc>
          <w:tcPr>
            <w:tcW w:type="dxa" w:w="831"/>
            <w:vMerge/>
          </w:tcPr>
          <w:p/>
        </w:tc>
        <w:tc>
          <w:tcPr>
            <w:tcW w:type="dxa" w:w="1661"/>
          </w:tcPr>
          <w:p>
            <w:pPr>
              <w:pStyle w:val="null3"/>
            </w:pPr>
            <w:r>
              <w:rPr>
                <w:rFonts w:ascii="仿宋_GB2312" w:hAnsi="仿宋_GB2312" w:cs="仿宋_GB2312" w:eastAsia="仿宋_GB2312"/>
              </w:rPr>
              <w:t>运营及维护方案</w:t>
            </w:r>
          </w:p>
        </w:tc>
        <w:tc>
          <w:tcPr>
            <w:tcW w:type="dxa" w:w="2492"/>
          </w:tcPr>
          <w:p>
            <w:pPr>
              <w:pStyle w:val="null3"/>
            </w:pPr>
            <w:r>
              <w:rPr>
                <w:rFonts w:ascii="仿宋_GB2312" w:hAnsi="仿宋_GB2312" w:cs="仿宋_GB2312" w:eastAsia="仿宋_GB2312"/>
              </w:rPr>
              <w:t>根据供应商提供的平台运营方案、平台维护方案，2个方面进行评审。 评审标准：方案描述详细，条理清晰，切实可行，满足技术标准要求（共2项，满分10分）。 （1）满足项目需求及评审标准的，每项得5分； （2）符合项目需求，方案可行的，每项得3分； （3）方案不妥待完善的，每项得1分；未提供不得分。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详细评审--运营及维护方案.docx</w:t>
            </w:r>
          </w:p>
        </w:tc>
      </w:tr>
      <w:tr>
        <w:tc>
          <w:tcPr>
            <w:tcW w:type="dxa" w:w="831"/>
            <w:vMerge/>
          </w:tcPr>
          <w:p/>
        </w:tc>
        <w:tc>
          <w:tcPr>
            <w:tcW w:type="dxa" w:w="1661"/>
          </w:tcPr>
          <w:p>
            <w:pPr>
              <w:pStyle w:val="null3"/>
            </w:pPr>
            <w:r>
              <w:rPr>
                <w:rFonts w:ascii="仿宋_GB2312" w:hAnsi="仿宋_GB2312" w:cs="仿宋_GB2312" w:eastAsia="仿宋_GB2312"/>
              </w:rPr>
              <w:t>保障方案</w:t>
            </w:r>
          </w:p>
        </w:tc>
        <w:tc>
          <w:tcPr>
            <w:tcW w:type="dxa" w:w="2492"/>
          </w:tcPr>
          <w:p>
            <w:pPr>
              <w:pStyle w:val="null3"/>
            </w:pPr>
            <w:r>
              <w:rPr>
                <w:rFonts w:ascii="仿宋_GB2312" w:hAnsi="仿宋_GB2312" w:cs="仿宋_GB2312" w:eastAsia="仿宋_GB2312"/>
              </w:rPr>
              <w:t>根据供应商提供的进度安排方案、应急管理方案、系统运行的安全保障方案，3个方面进行评审。 评审标准：方案科学、合理，内容完整、全面，切实可行，把握准确，满足技术标准要求（共3项，满分15分）。 （1）满足项目需求及评审标准的，每项得5分; （2）符合项目需求，方案可行的，每项得3分; （3）方案不妥待完善的，每项得1分;未提供不得分。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详细评审--保障方案.docx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1、项目经理：具有特种设备相关项目管理经验，从业经历丰富，提供服务管理及巡检计划方案； 2、技术负责人：具有3年以上相关业务平台开发、分析、设计经验； 3、服务团队：分工明确、专业搭配合理，人员数量充足，提供团队人员资料及服务方案、人员考核方案。 评审标准：方案描述详细，条理清晰，切实可行，满足技术标准要求（共3项，满分15分）。 （1）满足项目需求及评审标准的，每项得5分； （2）符合项目需求，方案可行的，每项得3分； （3）方案不妥待完善的，每项得1分；未提供不得分。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详细评审--项目团队配置.docx</w:t>
            </w:r>
          </w:p>
        </w:tc>
      </w:tr>
      <w:tr>
        <w:tc>
          <w:tcPr>
            <w:tcW w:type="dxa" w:w="831"/>
            <w:vMerge/>
          </w:tcPr>
          <w:p/>
        </w:tc>
        <w:tc>
          <w:tcPr>
            <w:tcW w:type="dxa" w:w="1661"/>
          </w:tcPr>
          <w:p>
            <w:pPr>
              <w:pStyle w:val="null3"/>
            </w:pPr>
            <w:r>
              <w:rPr>
                <w:rFonts w:ascii="仿宋_GB2312" w:hAnsi="仿宋_GB2312" w:cs="仿宋_GB2312" w:eastAsia="仿宋_GB2312"/>
              </w:rPr>
              <w:t>服务质量保证</w:t>
            </w:r>
          </w:p>
        </w:tc>
        <w:tc>
          <w:tcPr>
            <w:tcW w:type="dxa" w:w="2492"/>
          </w:tcPr>
          <w:p>
            <w:pPr>
              <w:pStyle w:val="null3"/>
            </w:pPr>
            <w:r>
              <w:rPr>
                <w:rFonts w:ascii="仿宋_GB2312" w:hAnsi="仿宋_GB2312" w:cs="仿宋_GB2312" w:eastAsia="仿宋_GB2312"/>
              </w:rPr>
              <w:t>根据供应商提供的培训方案，售后服务方案（包括服务流程、人员安排、响应时间、服务方式），服务质量自检措施、整改保障措施，3个方面进行评审。 评审标准：方案详细、全面，条理清晰，切实可行，满足技术标准要求（共3项，满分15分）。 （1）满足项目需求及评审标准的，每项得5分; （2）符合项目需求，方案内容可行的，每项得3分; （3）方案不妥待完善的，每项得1分;未提供不得分。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详细评审--服务质量保证.docx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供应商提供2022年1月1日起至今同类项目的业绩，磋商响应文件中附有其业绩证明材料，业绩以合同为依据，每提供一个得1分，满分5分。未提供不得分。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首次磋商响应报价表.docx</w:t>
            </w:r>
          </w:p>
          <w:p>
            <w:pPr>
              <w:pStyle w:val="null3"/>
            </w:pPr>
            <w:r>
              <w:rPr>
                <w:rFonts w:ascii="仿宋_GB2312" w:hAnsi="仿宋_GB2312" w:cs="仿宋_GB2312" w:eastAsia="仿宋_GB2312"/>
              </w:rPr>
              <w:t>首次报价明细表.docx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详见附件：首次磋商响应报价表.docx</w:t>
      </w:r>
    </w:p>
    <w:p>
      <w:pPr>
        <w:pStyle w:val="null3"/>
        <w:ind w:firstLine="960"/>
      </w:pPr>
      <w:r>
        <w:rPr>
          <w:rFonts w:ascii="仿宋_GB2312" w:hAnsi="仿宋_GB2312" w:cs="仿宋_GB2312" w:eastAsia="仿宋_GB2312"/>
        </w:rPr>
        <w:t>详见附件：首次报价明细表.docx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详见附件：资格证明资料.docx</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详见附件：商务要求（合同草案条款）偏离表.docx</w:t>
      </w:r>
    </w:p>
    <w:p>
      <w:pPr>
        <w:pStyle w:val="null3"/>
        <w:ind w:firstLine="960"/>
      </w:pPr>
      <w:r>
        <w:rPr>
          <w:rFonts w:ascii="仿宋_GB2312" w:hAnsi="仿宋_GB2312" w:cs="仿宋_GB2312" w:eastAsia="仿宋_GB2312"/>
        </w:rPr>
        <w:t>详见附件：详细评审--技术分析.docx</w:t>
      </w:r>
    </w:p>
    <w:p>
      <w:pPr>
        <w:pStyle w:val="null3"/>
        <w:ind w:firstLine="960"/>
      </w:pPr>
      <w:r>
        <w:rPr>
          <w:rFonts w:ascii="仿宋_GB2312" w:hAnsi="仿宋_GB2312" w:cs="仿宋_GB2312" w:eastAsia="仿宋_GB2312"/>
        </w:rPr>
        <w:t>详见附件：详细评审--重点、难点分析与解决方案.docx</w:t>
      </w:r>
    </w:p>
    <w:p>
      <w:pPr>
        <w:pStyle w:val="null3"/>
        <w:ind w:firstLine="960"/>
      </w:pPr>
      <w:r>
        <w:rPr>
          <w:rFonts w:ascii="仿宋_GB2312" w:hAnsi="仿宋_GB2312" w:cs="仿宋_GB2312" w:eastAsia="仿宋_GB2312"/>
        </w:rPr>
        <w:t>详见附件：详细评审--技术方案.docx</w:t>
      </w:r>
    </w:p>
    <w:p>
      <w:pPr>
        <w:pStyle w:val="null3"/>
        <w:ind w:firstLine="960"/>
      </w:pPr>
      <w:r>
        <w:rPr>
          <w:rFonts w:ascii="仿宋_GB2312" w:hAnsi="仿宋_GB2312" w:cs="仿宋_GB2312" w:eastAsia="仿宋_GB2312"/>
        </w:rPr>
        <w:t>详见附件：详细评审--运营及维护方案.docx</w:t>
      </w:r>
    </w:p>
    <w:p>
      <w:pPr>
        <w:pStyle w:val="null3"/>
        <w:ind w:firstLine="960"/>
      </w:pPr>
      <w:r>
        <w:rPr>
          <w:rFonts w:ascii="仿宋_GB2312" w:hAnsi="仿宋_GB2312" w:cs="仿宋_GB2312" w:eastAsia="仿宋_GB2312"/>
        </w:rPr>
        <w:t>详见附件：详细评审--保障方案.docx</w:t>
      </w:r>
    </w:p>
    <w:p>
      <w:pPr>
        <w:pStyle w:val="null3"/>
        <w:ind w:firstLine="960"/>
      </w:pPr>
      <w:r>
        <w:rPr>
          <w:rFonts w:ascii="仿宋_GB2312" w:hAnsi="仿宋_GB2312" w:cs="仿宋_GB2312" w:eastAsia="仿宋_GB2312"/>
        </w:rPr>
        <w:t>详见附件：详细评审--项目团队配置.docx</w:t>
      </w:r>
    </w:p>
    <w:p>
      <w:pPr>
        <w:pStyle w:val="null3"/>
        <w:ind w:firstLine="960"/>
      </w:pPr>
      <w:r>
        <w:rPr>
          <w:rFonts w:ascii="仿宋_GB2312" w:hAnsi="仿宋_GB2312" w:cs="仿宋_GB2312" w:eastAsia="仿宋_GB2312"/>
        </w:rPr>
        <w:t>详见附件：详细评审--服务质量保证.docx</w:t>
      </w:r>
    </w:p>
    <w:p>
      <w:pPr>
        <w:pStyle w:val="null3"/>
        <w:ind w:firstLine="960"/>
      </w:pPr>
      <w:r>
        <w:rPr>
          <w:rFonts w:ascii="仿宋_GB2312" w:hAnsi="仿宋_GB2312" w:cs="仿宋_GB2312" w:eastAsia="仿宋_GB2312"/>
        </w:rPr>
        <w:t>详见附件：详细评审--业绩.docx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详见附件：合同草案条款.docx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