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02B5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详细评审</w:t>
      </w:r>
      <w:bookmarkStart w:id="0" w:name="_GoBack"/>
      <w:r>
        <w:rPr>
          <w:rFonts w:hint="eastAsia" w:eastAsia="黑体"/>
          <w:b/>
          <w:bCs/>
          <w:sz w:val="32"/>
          <w:szCs w:val="32"/>
        </w:rPr>
        <w:t>--重点、难点分析与解决方案</w:t>
      </w:r>
      <w:bookmarkEnd w:id="0"/>
    </w:p>
    <w:p w14:paraId="64D06541">
      <w:r>
        <w:rPr>
          <w:rFonts w:ascii="仿宋_GB2312" w:hAnsi="仿宋" w:eastAsia="仿宋_GB2312"/>
          <w:sz w:val="28"/>
          <w:szCs w:val="28"/>
          <w:lang w:val="zh-CN"/>
        </w:rPr>
        <w:t>说明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：供应商根据采购需求、商务要求及评审办法等内容自主编写。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618F6"/>
    <w:rsid w:val="0166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2025-05-10T06:50:00Z</dcterms:created>
  <dc:creator>Джек</dc:creator>
  <cp:lastModifiedBy>Джек</cp:lastModifiedBy>
  <dcterms:modified xsi:type="dcterms:W3CDTF">2025-05-10T06:51:08Z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B21D85B5109546C2A3473079C0160D16_11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