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A606C">
      <w:pPr>
        <w:pStyle w:val="2"/>
        <w:jc w:val="center"/>
        <w:rPr>
          <w:rFonts w:hint="eastAsia" w:hAnsi="黑体" w:eastAsia="黑体"/>
          <w:b/>
          <w:sz w:val="32"/>
          <w:szCs w:val="32"/>
          <w:lang w:val="zh-CN"/>
        </w:rPr>
      </w:pPr>
      <w:r>
        <w:rPr>
          <w:rFonts w:hint="eastAsia" w:hAnsi="黑体" w:eastAsia="黑体"/>
          <w:b/>
          <w:sz w:val="32"/>
          <w:szCs w:val="32"/>
          <w:lang w:val="zh-CN"/>
        </w:rPr>
        <w:t>合同草案条款</w:t>
      </w:r>
    </w:p>
    <w:p w14:paraId="24BD770E">
      <w:pPr>
        <w:tabs>
          <w:tab w:val="left" w:pos="735"/>
        </w:tabs>
        <w:autoSpaceDE w:val="0"/>
        <w:autoSpaceDN w:val="0"/>
        <w:adjustRightInd w:val="0"/>
        <w:snapToGrid w:val="0"/>
        <w:spacing w:before="240" w:beforeLines="100" w:line="358" w:lineRule="auto"/>
        <w:ind w:firstLine="629"/>
        <w:rPr>
          <w:rFonts w:hint="eastAsia" w:asciiTheme="majorEastAsia" w:hAnsiTheme="majorEastAsia" w:eastAsiaTheme="majorEastAsia" w:cstheme="majorEastAsia"/>
          <w:b/>
          <w:bCs/>
          <w:sz w:val="24"/>
          <w:szCs w:val="24"/>
          <w:lang w:val="zh-CN"/>
        </w:rPr>
      </w:pPr>
      <w:r>
        <w:rPr>
          <w:rFonts w:hint="eastAsia" w:asciiTheme="majorEastAsia" w:hAnsiTheme="majorEastAsia" w:eastAsiaTheme="majorEastAsia" w:cstheme="majorEastAsia"/>
          <w:b/>
          <w:bCs/>
          <w:sz w:val="24"/>
          <w:szCs w:val="24"/>
          <w:lang w:val="zh-CN"/>
        </w:rPr>
        <w:t>甲方：</w:t>
      </w:r>
      <w:r>
        <w:rPr>
          <w:rFonts w:hint="eastAsia" w:asciiTheme="majorEastAsia" w:hAnsiTheme="majorEastAsia" w:eastAsiaTheme="majorEastAsia" w:cstheme="majorEastAsia"/>
          <w:bCs/>
          <w:sz w:val="24"/>
          <w:szCs w:val="24"/>
          <w:lang w:val="zh-CN"/>
        </w:rPr>
        <w:t>（前款所称采购人）         住所：</w:t>
      </w:r>
    </w:p>
    <w:p w14:paraId="42E2BE0F">
      <w:pPr>
        <w:tabs>
          <w:tab w:val="left" w:pos="735"/>
        </w:tabs>
        <w:autoSpaceDE w:val="0"/>
        <w:autoSpaceDN w:val="0"/>
        <w:adjustRightInd w:val="0"/>
        <w:snapToGrid w:val="0"/>
        <w:spacing w:line="358" w:lineRule="auto"/>
        <w:ind w:firstLine="631"/>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
          <w:bCs/>
          <w:sz w:val="24"/>
          <w:szCs w:val="24"/>
          <w:lang w:val="zh-CN"/>
        </w:rPr>
        <w:t>乙方：</w:t>
      </w:r>
      <w:r>
        <w:rPr>
          <w:rFonts w:hint="eastAsia" w:asciiTheme="majorEastAsia" w:hAnsiTheme="majorEastAsia" w:eastAsiaTheme="majorEastAsia" w:cstheme="majorEastAsia"/>
          <w:bCs/>
          <w:sz w:val="24"/>
          <w:szCs w:val="24"/>
          <w:lang w:val="zh-CN"/>
        </w:rPr>
        <w:t>（前款所称成交供应商）     住所：</w:t>
      </w:r>
    </w:p>
    <w:p w14:paraId="5AC98606">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一、合同内容</w:t>
      </w:r>
    </w:p>
    <w:p w14:paraId="0C64A070">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（标的、数量、质量等）:</w:t>
      </w:r>
    </w:p>
    <w:p w14:paraId="2F496C33">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二、合同价款</w:t>
      </w:r>
    </w:p>
    <w:p w14:paraId="0C71C333">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1、合同总价： </w:t>
      </w:r>
    </w:p>
    <w:p w14:paraId="3883A28A">
      <w:pPr>
        <w:adjustRightInd w:val="0"/>
        <w:snapToGrid w:val="0"/>
        <w:spacing w:line="358" w:lineRule="auto"/>
        <w:ind w:firstLine="480" w:firstLineChars="200"/>
        <w:rPr>
          <w:rFonts w:hint="eastAsia" w:asciiTheme="majorEastAsia" w:hAnsiTheme="majorEastAsia" w:eastAsiaTheme="majorEastAsia" w:cstheme="majorEastAsia"/>
          <w:sz w:val="24"/>
          <w:szCs w:val="24"/>
          <w:lang w:val="zh-CN"/>
        </w:rPr>
      </w:pPr>
      <w:r>
        <w:rPr>
          <w:rFonts w:hint="eastAsia" w:asciiTheme="majorEastAsia" w:hAnsiTheme="majorEastAsia" w:eastAsiaTheme="majorEastAsia" w:cstheme="majorEastAsia"/>
          <w:sz w:val="24"/>
          <w:szCs w:val="24"/>
        </w:rPr>
        <w:t>2、合同总价包括：完成所有内容的全部费用</w:t>
      </w:r>
      <w:r>
        <w:rPr>
          <w:rFonts w:hint="eastAsia" w:asciiTheme="majorEastAsia" w:hAnsiTheme="majorEastAsia" w:eastAsiaTheme="majorEastAsia" w:cstheme="majorEastAsia"/>
          <w:sz w:val="24"/>
          <w:szCs w:val="24"/>
          <w:lang w:val="zh-CN"/>
        </w:rPr>
        <w:t>。</w:t>
      </w:r>
    </w:p>
    <w:p w14:paraId="36578909">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3、合同总价一次包死，不受市场价变化的影响。</w:t>
      </w:r>
    </w:p>
    <w:p w14:paraId="5C8D1F6F">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三、合同结算</w:t>
      </w:r>
    </w:p>
    <w:p w14:paraId="6F4142FF">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1、资金支付条件及时间：合同签订后30日内付合同总金额的 30.00%， 服务完成，经采购人验收合格后30日内支付合同总金额的 70.00%。</w:t>
      </w:r>
    </w:p>
    <w:p w14:paraId="02FFB026">
      <w:pPr>
        <w:adjustRightInd w:val="0"/>
        <w:snapToGrid w:val="0"/>
        <w:spacing w:line="358" w:lineRule="auto"/>
        <w:ind w:firstLine="480" w:firstLineChars="200"/>
        <w:rPr>
          <w:rFonts w:hint="eastAsia" w:asciiTheme="majorEastAsia" w:hAnsiTheme="majorEastAsia" w:eastAsiaTheme="majorEastAsia" w:cstheme="majorEastAsia"/>
          <w:sz w:val="24"/>
          <w:szCs w:val="24"/>
        </w:rPr>
      </w:pPr>
      <w:bookmarkStart w:id="4" w:name="_GoBack"/>
      <w:bookmarkEnd w:id="4"/>
      <w:r>
        <w:rPr>
          <w:rFonts w:hint="eastAsia" w:asciiTheme="majorEastAsia" w:hAnsiTheme="majorEastAsia" w:eastAsiaTheme="majorEastAsia" w:cstheme="majorEastAsia"/>
          <w:sz w:val="24"/>
          <w:szCs w:val="24"/>
        </w:rPr>
        <w:t>2、结算方式：银行转账。</w:t>
      </w:r>
    </w:p>
    <w:p w14:paraId="5942F4B7">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2-1、项目结算：结算审计是项目结算的必要条件，实际结算金额应以结算审计的审定金额为准。</w:t>
      </w:r>
    </w:p>
    <w:p w14:paraId="76078AB6">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2-2、最终结算价格不得超过成交金额。</w:t>
      </w:r>
    </w:p>
    <w:p w14:paraId="1180EB1C">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2-3、因本项目为政府采购项目，若因相关政策或财务程序等影响，导致采购人不能及时付款供应商应予以宽容，采购人不构成违约。</w:t>
      </w:r>
    </w:p>
    <w:p w14:paraId="002DF4E5">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3、结算单位：由</w:t>
      </w:r>
      <w:r>
        <w:rPr>
          <w:rFonts w:hint="eastAsia" w:asciiTheme="majorEastAsia" w:hAnsiTheme="majorEastAsia" w:eastAsiaTheme="majorEastAsia" w:cstheme="majorEastAsia"/>
          <w:sz w:val="24"/>
          <w:szCs w:val="24"/>
          <w:u w:val="single"/>
        </w:rPr>
        <w:t>采购人</w:t>
      </w:r>
      <w:r>
        <w:rPr>
          <w:rFonts w:hint="eastAsia" w:asciiTheme="majorEastAsia" w:hAnsiTheme="majorEastAsia" w:eastAsiaTheme="majorEastAsia" w:cstheme="majorEastAsia"/>
          <w:sz w:val="24"/>
          <w:szCs w:val="24"/>
        </w:rPr>
        <w:t>负责结算，供应商开具付款等额发票交采购人。</w:t>
      </w:r>
    </w:p>
    <w:p w14:paraId="3BCC7AF4">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四、服务期、地点及方式:</w:t>
      </w:r>
    </w:p>
    <w:p w14:paraId="75E7E836">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1、服务期</w:t>
      </w:r>
      <w:r>
        <w:rPr>
          <w:rFonts w:hint="eastAsia" w:asciiTheme="majorEastAsia" w:hAnsiTheme="majorEastAsia" w:eastAsiaTheme="majorEastAsia" w:cstheme="majorEastAsia"/>
          <w:color w:val="auto"/>
          <w:sz w:val="24"/>
          <w:szCs w:val="24"/>
        </w:rPr>
        <w:t>：200日历天</w:t>
      </w:r>
    </w:p>
    <w:p w14:paraId="12A5359F">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2、地点：</w:t>
      </w:r>
      <w:r>
        <w:rPr>
          <w:rFonts w:hint="eastAsia" w:asciiTheme="majorEastAsia" w:hAnsiTheme="majorEastAsia" w:eastAsiaTheme="majorEastAsia" w:cstheme="majorEastAsia"/>
          <w:bCs/>
          <w:sz w:val="24"/>
          <w:szCs w:val="24"/>
          <w:lang w:val="zh-CN"/>
        </w:rPr>
        <w:t>按照采购人要求</w:t>
      </w:r>
    </w:p>
    <w:p w14:paraId="07C0C40B">
      <w:pPr>
        <w:adjustRightInd w:val="0"/>
        <w:snapToGrid w:val="0"/>
        <w:spacing w:line="358" w:lineRule="auto"/>
        <w:ind w:firstLine="480" w:firstLineChars="20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sz w:val="24"/>
          <w:szCs w:val="24"/>
        </w:rPr>
        <w:t>3、方式：</w:t>
      </w:r>
      <w:r>
        <w:rPr>
          <w:rFonts w:hint="eastAsia" w:asciiTheme="majorEastAsia" w:hAnsiTheme="majorEastAsia" w:eastAsiaTheme="majorEastAsia" w:cstheme="majorEastAsia"/>
          <w:bCs/>
          <w:sz w:val="24"/>
          <w:szCs w:val="24"/>
          <w:lang w:val="zh-CN"/>
        </w:rPr>
        <w:t>按照采购人要求</w:t>
      </w:r>
    </w:p>
    <w:p w14:paraId="613F6BE8">
      <w:pPr>
        <w:spacing w:line="360"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五、其他事项：</w:t>
      </w:r>
    </w:p>
    <w:p w14:paraId="72A986A7">
      <w:pPr>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1、乙方不得转让、分包给其它单位或个人。</w:t>
      </w:r>
    </w:p>
    <w:p w14:paraId="074B3490">
      <w:pPr>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2、乙方的响应文件和承诺等内容将列入合同。</w:t>
      </w:r>
    </w:p>
    <w:p w14:paraId="7B8F8746">
      <w:pPr>
        <w:adjustRightInd w:val="0"/>
        <w:snapToGrid w:val="0"/>
        <w:spacing w:line="360"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六、甲方权利和义务</w:t>
      </w:r>
    </w:p>
    <w:p w14:paraId="2672A144">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1、甲方有权对合同规定范围内乙方的服务行为进行监督和检查，拥有监管权；对甲方认为不合理的部分有权下达整改通知书，并要求乙方限期整改。</w:t>
      </w:r>
    </w:p>
    <w:p w14:paraId="336525EF">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2、甲方负责组织、收集检验标本，并对标本来源的合法性、准确性和完整性负责，确保样本信息与检验申请单的信息相符。</w:t>
      </w:r>
    </w:p>
    <w:p w14:paraId="6442ACB4">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3、国家法律、法规所规定由甲方承担的其它责任。</w:t>
      </w:r>
    </w:p>
    <w:p w14:paraId="061E24B0">
      <w:pPr>
        <w:adjustRightInd w:val="0"/>
        <w:snapToGrid w:val="0"/>
        <w:spacing w:line="360"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七、乙方的权利和义务</w:t>
      </w:r>
    </w:p>
    <w:p w14:paraId="52380255">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1、乙方对本合同规定的委托服务范围内的项目及甲方因工作需要新增加的项目享有管理权及检测服务义务，并对标本的检验报告承担相应的法律责任； </w:t>
      </w:r>
    </w:p>
    <w:p w14:paraId="01D05AC9">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2、乙方根据本合同的规定向甲方收取相关检测服务费用，并有权在本项目管理范围内管理及合理使用。</w:t>
      </w:r>
    </w:p>
    <w:p w14:paraId="24E51A1A">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3、及时向甲方通告本项目服务范围内有关服务的重大事项，及时配合处理投诉。</w:t>
      </w:r>
    </w:p>
    <w:p w14:paraId="1E55BD86">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4、接受项目行业管理部门及政府有关部门的指导，接受甲方的监督。</w:t>
      </w:r>
    </w:p>
    <w:p w14:paraId="26EFCB64">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5、国家法律、法规所规定由乙方承担的其它责任。</w:t>
      </w:r>
    </w:p>
    <w:p w14:paraId="75BCC978">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6、检测完成后，乙方有权自行处置检测样本，样本处置应遵循医学检验及生物安全有关规定；如有剩余样本，乙方负责在规定条件下保存10天后作为医疗废物处理。</w:t>
      </w:r>
    </w:p>
    <w:p w14:paraId="3EE4C7D9">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7、乙方应在合同签订后立即启动合同工作内容，并保证在本合同执行过程中根据甲方的实际情况，向甲方提供符合国家有关法规和行业规范的服务。</w:t>
      </w:r>
    </w:p>
    <w:p w14:paraId="20123A02">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八、保密条款</w:t>
      </w:r>
    </w:p>
    <w:p w14:paraId="38879BAD">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1、保密条款</w:t>
      </w:r>
    </w:p>
    <w:p w14:paraId="04823114">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1-1、本合同一方(“披露方”)对其向本合同另一方(“接受方”)按照本合同(或就本合同)所提供/披露的各类技术和商业资料、规格说明、图纸、文件及专有技术(统称“保密资料”)享有合法所有权及/或其他权利。</w:t>
      </w:r>
    </w:p>
    <w:p w14:paraId="0B7E2FD0">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接受方应将保密资料作为商业秘密予以保护。除本合同授权实施的行为外，接受方不得将保密资料部分地或全部地对外披露。接受方可仅为本合同目的向其确有知悉必要的雇员披露对方提供的保密资料，但同时须指示其雇员遵守本条规定的保密及不披露义务。</w:t>
      </w:r>
    </w:p>
    <w:p w14:paraId="5A739558">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接受方仅得为履行本合同之目的对保密资料进行复制。接受方应当在合同终止或解除时将保密资料原件全部返还披露方，并销毁所有复制件。接受方应当妥善保管保密资料，并对保密资料在接受方期间发生的被盗、泄露或其他有损保密资料保密性的事件承担全部责任，因此造成披露方损失的，接受方应负责赔偿。</w:t>
      </w:r>
    </w:p>
    <w:p w14:paraId="250E2EB2">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1-4、当出现下述情况时，本条对保密资料的限制不适用。当保密资料：</w:t>
      </w:r>
    </w:p>
    <w:p w14:paraId="4EAE99E2">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（1）并非接受方的过错而已经进入公有领域的。</w:t>
      </w:r>
    </w:p>
    <w:p w14:paraId="7FC7573C">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（2）已通过该方的有关记录证明是由接受方独立开发的。</w:t>
      </w:r>
    </w:p>
    <w:p w14:paraId="599261B1">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（3）由接受方从没有违反对披露方的保密义务的人合法取得的。</w:t>
      </w:r>
    </w:p>
    <w:p w14:paraId="6B45CEF3">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（4）法律要求接受方披露的，但接受方应在合理的时间提前书面通知披露方，使其得以采取其认为必要的保护措施。</w:t>
      </w:r>
    </w:p>
    <w:p w14:paraId="4C4FE25B">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1-5、本保密条款有效期为本合同生效之日起[ 1 ]年。</w:t>
      </w:r>
    </w:p>
    <w:p w14:paraId="3A256EC6">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1-6、本条约定不适用于各方向其关联公司提供或披露保密资料的情形。</w:t>
      </w:r>
    </w:p>
    <w:p w14:paraId="39C206E6">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九、验收要求</w:t>
      </w:r>
    </w:p>
    <w:p w14:paraId="6CC6D515">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验收依据：</w:t>
      </w:r>
    </w:p>
    <w:p w14:paraId="27D57B65">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1、合同文本、合同附件、竞争性磋商文件、磋商响应文件。</w:t>
      </w:r>
    </w:p>
    <w:p w14:paraId="174C1474">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2、国内相应的标准、规范。</w:t>
      </w:r>
    </w:p>
    <w:p w14:paraId="5C048BAC">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bookmarkStart w:id="0" w:name="_Toc19515392"/>
      <w:r>
        <w:rPr>
          <w:rFonts w:hint="eastAsia" w:asciiTheme="majorEastAsia" w:hAnsiTheme="majorEastAsia" w:eastAsiaTheme="majorEastAsia" w:cstheme="majorEastAsia"/>
          <w:b/>
          <w:sz w:val="24"/>
          <w:szCs w:val="24"/>
        </w:rPr>
        <w:t>十、违约责任</w:t>
      </w:r>
      <w:bookmarkEnd w:id="0"/>
    </w:p>
    <w:p w14:paraId="16B0DCE4">
      <w:pPr>
        <w:adjustRightInd w:val="0"/>
        <w:snapToGrid w:val="0"/>
        <w:spacing w:line="358" w:lineRule="auto"/>
        <w:ind w:firstLine="480"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sz w:val="24"/>
          <w:szCs w:val="24"/>
        </w:rPr>
        <w:t>1、违约责任按《中华人民共和国民法典》处理中的相关条款执行。</w:t>
      </w:r>
    </w:p>
    <w:p w14:paraId="583FF8EF">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2、乙方履约延误</w:t>
      </w:r>
    </w:p>
    <w:p w14:paraId="6B23A3F7">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2-1、如乙方事先未征得甲方同意并得到甲方的谅解而单方面延迟提供服务，将按违约终止合同。</w:t>
      </w:r>
    </w:p>
    <w:p w14:paraId="2A336BCE">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2-2、乙方必须严格按照服务期要求执行，超期甲方不予支付合同款，同时保留追究相关责任的权利。</w:t>
      </w:r>
    </w:p>
    <w:p w14:paraId="2AAB74CA">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2-3、违约终止合同：未按合同要求提供服务，甲方会同监督机构有权终止合同，对乙方违约行为进行追究，同时按政府采购法的有关规定进行相应的处罚。</w:t>
      </w:r>
    </w:p>
    <w:p w14:paraId="51990D85">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十一、不可抗力事件处理</w:t>
      </w:r>
    </w:p>
    <w:p w14:paraId="4657AE2B">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2FDA3194">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29FBC58C">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bookmarkStart w:id="1" w:name="_Toc19515393"/>
      <w:r>
        <w:rPr>
          <w:rFonts w:hint="eastAsia" w:asciiTheme="majorEastAsia" w:hAnsiTheme="majorEastAsia" w:eastAsiaTheme="majorEastAsia" w:cstheme="majorEastAsia"/>
          <w:b/>
          <w:sz w:val="24"/>
          <w:szCs w:val="24"/>
        </w:rPr>
        <w:t>十二、合同组成</w:t>
      </w:r>
      <w:bookmarkEnd w:id="1"/>
    </w:p>
    <w:p w14:paraId="02AB4163">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1、成交通知书</w:t>
      </w:r>
    </w:p>
    <w:p w14:paraId="577A05E6">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2、合同文件</w:t>
      </w:r>
    </w:p>
    <w:p w14:paraId="75E54581">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3、国家相关规范及标准</w:t>
      </w:r>
    </w:p>
    <w:p w14:paraId="20BEF52B">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4、竞争性磋商文件</w:t>
      </w:r>
    </w:p>
    <w:p w14:paraId="7C23D396">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5、磋商响应文件</w:t>
      </w:r>
    </w:p>
    <w:p w14:paraId="4ABABCCF">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bookmarkStart w:id="2" w:name="_Toc19515394"/>
      <w:r>
        <w:rPr>
          <w:rFonts w:hint="eastAsia" w:asciiTheme="majorEastAsia" w:hAnsiTheme="majorEastAsia" w:eastAsiaTheme="majorEastAsia" w:cstheme="majorEastAsia"/>
          <w:b/>
          <w:sz w:val="24"/>
          <w:szCs w:val="24"/>
        </w:rPr>
        <w:t>十三、解决争议的方法</w:t>
      </w:r>
      <w:bookmarkEnd w:id="2"/>
    </w:p>
    <w:p w14:paraId="245CB5C0">
      <w:pPr>
        <w:widowControl/>
        <w:autoSpaceDE w:val="0"/>
        <w:autoSpaceDN w:val="0"/>
        <w:snapToGrid w:val="0"/>
        <w:spacing w:line="358" w:lineRule="auto"/>
        <w:ind w:right="-110" w:firstLine="480" w:firstLineChars="200"/>
        <w:textAlignment w:val="bottom"/>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凡因本合同引起的或与本合同有关的争议，双方应友好协商解决。协商不成时，双方均同意采用以下第（  ）种争议解决方式：</w:t>
      </w:r>
    </w:p>
    <w:p w14:paraId="74909C7B">
      <w:pPr>
        <w:widowControl/>
        <w:autoSpaceDE w:val="0"/>
        <w:autoSpaceDN w:val="0"/>
        <w:snapToGrid w:val="0"/>
        <w:spacing w:line="358" w:lineRule="auto"/>
        <w:ind w:right="-110" w:firstLine="480" w:firstLineChars="200"/>
        <w:textAlignment w:val="bottom"/>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（1）甲、乙双方均同意向（甲方所在地人民法院）提起诉讼。</w:t>
      </w:r>
    </w:p>
    <w:p w14:paraId="2DD3B4B0">
      <w:pPr>
        <w:widowControl/>
        <w:autoSpaceDE w:val="0"/>
        <w:autoSpaceDN w:val="0"/>
        <w:snapToGrid w:val="0"/>
        <w:spacing w:line="358" w:lineRule="auto"/>
        <w:ind w:right="-110" w:firstLine="480" w:firstLineChars="200"/>
        <w:textAlignment w:val="bottom"/>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（2）甲、乙双方均同意向（</w:t>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"http://www.baidu.com/s?wd=%E4%BB%B2%E8%A3%81%E5%A7%94%E5%91%98%E4%BC%9A&amp;tn=SE_PcZhidaonwhc_ngpagmjz&amp;rsv_dl=gh_pc_zhidao" \t "_blank"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kern w:val="0"/>
          <w:sz w:val="24"/>
          <w:szCs w:val="24"/>
        </w:rPr>
        <w:t>仲裁委员会</w:t>
      </w:r>
      <w:r>
        <w:rPr>
          <w:rFonts w:hint="eastAsia" w:asciiTheme="majorEastAsia" w:hAnsiTheme="majorEastAsia" w:eastAsiaTheme="majorEastAsia" w:cstheme="majorEastAsia"/>
          <w:kern w:val="0"/>
          <w:sz w:val="24"/>
          <w:szCs w:val="24"/>
        </w:rPr>
        <w:fldChar w:fldCharType="end"/>
      </w:r>
      <w:r>
        <w:rPr>
          <w:rFonts w:hint="eastAsia" w:asciiTheme="majorEastAsia" w:hAnsiTheme="majorEastAsia" w:eastAsiaTheme="majorEastAsia" w:cstheme="majorEastAsia"/>
          <w:kern w:val="0"/>
          <w:sz w:val="24"/>
          <w:szCs w:val="24"/>
        </w:rPr>
        <w:t>）提起仲裁。</w:t>
      </w:r>
    </w:p>
    <w:p w14:paraId="08878FC6">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bookmarkStart w:id="3" w:name="_Toc19515395"/>
      <w:r>
        <w:rPr>
          <w:rFonts w:hint="eastAsia" w:asciiTheme="majorEastAsia" w:hAnsiTheme="majorEastAsia" w:eastAsiaTheme="majorEastAsia" w:cstheme="majorEastAsia"/>
          <w:b/>
          <w:sz w:val="24"/>
          <w:szCs w:val="24"/>
        </w:rPr>
        <w:t>十四、合同生效及其它</w:t>
      </w:r>
      <w:bookmarkEnd w:id="3"/>
    </w:p>
    <w:p w14:paraId="5C300635">
      <w:pPr>
        <w:adjustRightInd w:val="0"/>
        <w:snapToGrid w:val="0"/>
        <w:spacing w:line="358" w:lineRule="auto"/>
        <w:ind w:firstLine="480"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kern w:val="0"/>
          <w:sz w:val="24"/>
          <w:szCs w:val="24"/>
        </w:rPr>
        <w:t>1、合同未尽事宜、由甲、乙双方协商，作为合同补充，与原合同具有同等法律效力。</w:t>
      </w:r>
    </w:p>
    <w:p w14:paraId="730501A7">
      <w:pPr>
        <w:adjustRightInd w:val="0"/>
        <w:snapToGrid w:val="0"/>
        <w:spacing w:line="358" w:lineRule="auto"/>
        <w:ind w:firstLine="480"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kern w:val="0"/>
          <w:sz w:val="24"/>
          <w:szCs w:val="24"/>
        </w:rPr>
        <w:t>2、 本合同一式</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份，甲方、乙方双方分别执</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份，</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备案</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份。</w:t>
      </w:r>
    </w:p>
    <w:p w14:paraId="2ECF86EF">
      <w:pPr>
        <w:adjustRightInd w:val="0"/>
        <w:snapToGrid w:val="0"/>
        <w:spacing w:line="358" w:lineRule="auto"/>
        <w:ind w:firstLine="480"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kern w:val="0"/>
          <w:sz w:val="24"/>
          <w:szCs w:val="24"/>
        </w:rPr>
        <w:t>3、合同经甲乙双方盖章、签字后生效，合同签订地点为</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w:t>
      </w:r>
    </w:p>
    <w:p w14:paraId="0FEB4B4B">
      <w:pPr>
        <w:adjustRightInd w:val="0"/>
        <w:snapToGrid w:val="0"/>
        <w:spacing w:line="358" w:lineRule="auto"/>
        <w:ind w:firstLine="480" w:firstLineChars="200"/>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4、生效时间：</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 xml:space="preserve">年 </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月</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日</w:t>
      </w:r>
    </w:p>
    <w:tbl>
      <w:tblPr>
        <w:tblStyle w:val="4"/>
        <w:tblW w:w="0" w:type="auto"/>
        <w:jc w:val="center"/>
        <w:tblLayout w:type="fixed"/>
        <w:tblCellMar>
          <w:top w:w="0" w:type="dxa"/>
          <w:left w:w="108" w:type="dxa"/>
          <w:bottom w:w="0" w:type="dxa"/>
          <w:right w:w="108" w:type="dxa"/>
        </w:tblCellMar>
      </w:tblPr>
      <w:tblGrid>
        <w:gridCol w:w="4644"/>
        <w:gridCol w:w="4642"/>
      </w:tblGrid>
      <w:tr w14:paraId="0BC3BE6C">
        <w:tblPrEx>
          <w:tblCellMar>
            <w:top w:w="0" w:type="dxa"/>
            <w:left w:w="108" w:type="dxa"/>
            <w:bottom w:w="0" w:type="dxa"/>
            <w:right w:w="108" w:type="dxa"/>
          </w:tblCellMar>
        </w:tblPrEx>
        <w:trPr>
          <w:jc w:val="center"/>
        </w:trPr>
        <w:tc>
          <w:tcPr>
            <w:tcW w:w="4644" w:type="dxa"/>
            <w:noWrap w:val="0"/>
            <w:vAlign w:val="top"/>
          </w:tcPr>
          <w:p w14:paraId="7AD88F7D">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甲方名称（盖章）:</w:t>
            </w:r>
          </w:p>
          <w:p w14:paraId="2ADE3C4F">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地址：</w:t>
            </w:r>
          </w:p>
          <w:p w14:paraId="2B90E0A5">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代表人（签字）：</w:t>
            </w:r>
          </w:p>
          <w:p w14:paraId="70FF1180">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电话：</w:t>
            </w:r>
          </w:p>
          <w:p w14:paraId="00B69BF1">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开户银行：</w:t>
            </w:r>
          </w:p>
          <w:p w14:paraId="62BC7B50">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账</w:t>
            </w:r>
            <w:r>
              <w:rPr>
                <w:rFonts w:hint="eastAsia" w:asciiTheme="majorEastAsia" w:hAnsiTheme="majorEastAsia" w:eastAsiaTheme="majorEastAsia" w:cstheme="majorEastAsia"/>
                <w:sz w:val="24"/>
                <w:szCs w:val="24"/>
              </w:rPr>
              <w:t>号：</w:t>
            </w:r>
          </w:p>
        </w:tc>
        <w:tc>
          <w:tcPr>
            <w:tcW w:w="4642" w:type="dxa"/>
            <w:noWrap w:val="0"/>
            <w:vAlign w:val="top"/>
          </w:tcPr>
          <w:p w14:paraId="5282FC05">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乙方名称（盖章）:</w:t>
            </w:r>
          </w:p>
          <w:p w14:paraId="3AD83939">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地址：</w:t>
            </w:r>
          </w:p>
          <w:p w14:paraId="5D653B08">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代表人（签字）：</w:t>
            </w:r>
          </w:p>
          <w:p w14:paraId="44AD80B6">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电话：</w:t>
            </w:r>
          </w:p>
          <w:p w14:paraId="5CD7352E">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开户银行：</w:t>
            </w:r>
          </w:p>
          <w:p w14:paraId="13B6B1A7">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账</w:t>
            </w:r>
            <w:r>
              <w:rPr>
                <w:rFonts w:hint="eastAsia" w:asciiTheme="majorEastAsia" w:hAnsiTheme="majorEastAsia" w:eastAsiaTheme="majorEastAsia" w:cstheme="majorEastAsia"/>
                <w:sz w:val="24"/>
                <w:szCs w:val="24"/>
              </w:rPr>
              <w:t>号：</w:t>
            </w:r>
          </w:p>
        </w:tc>
      </w:tr>
    </w:tbl>
    <w:p w14:paraId="5C69B2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B71747"/>
    <w:rsid w:val="3EF33559"/>
    <w:rsid w:val="728E0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Copperplate Gothic Bold" w:eastAsia="楷体_GB2312"/>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2350</Words>
  <Characters>2390</Characters>
  <Lines>0</Lines>
  <Paragraphs>0</Paragraphs>
  <TotalTime>1</TotalTime>
  <ScaleCrop>false</ScaleCrop>
  <LinksUpToDate>false</LinksUpToDate>
  <CharactersWithSpaces>2436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2025-05-15T10:57:00Z</dcterms:created>
  <dc:creator>Lenovo</dc:creator>
  <cp:lastModifiedBy>钟声</cp:lastModifiedBy>
  <dcterms:modified xsi:type="dcterms:W3CDTF">2025-05-29T10:41:10Z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DE52C616275A4F419CAFEE1A7D3A2FBD_12</vt:lpwstr>
  </property>
</Properties>
</file>