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A606C">
      <w:pPr>
        <w:pStyle w:val="2"/>
        <w:jc w:val="center"/>
        <w:rPr>
          <w:rFonts w:hint="eastAsia" w:hAnsi="黑体" w:eastAsia="黑体"/>
          <w:b/>
          <w:sz w:val="32"/>
          <w:szCs w:val="32"/>
          <w:lang w:val="zh-CN"/>
        </w:rPr>
      </w:pPr>
      <w:r>
        <w:rPr>
          <w:rFonts w:hint="eastAsia" w:hAnsi="黑体" w:eastAsia="黑体"/>
          <w:b/>
          <w:sz w:val="32"/>
          <w:szCs w:val="32"/>
          <w:lang w:val="zh-CN"/>
        </w:rPr>
        <w:t>合同草案条款</w:t>
      </w:r>
    </w:p>
    <w:p w14:paraId="24BD770E">
      <w:pPr>
        <w:tabs>
          <w:tab w:val="left" w:pos="735"/>
        </w:tabs>
        <w:autoSpaceDE w:val="0"/>
        <w:autoSpaceDN w:val="0"/>
        <w:adjustRightInd w:val="0"/>
        <w:snapToGrid w:val="0"/>
        <w:spacing w:before="240" w:beforeLines="100" w:line="358" w:lineRule="auto"/>
        <w:ind w:firstLine="629"/>
        <w:rPr>
          <w:rFonts w:hint="eastAsia" w:asciiTheme="majorEastAsia" w:hAnsiTheme="majorEastAsia" w:eastAsiaTheme="majorEastAsia" w:cstheme="majorEastAsia"/>
          <w:b/>
          <w:bCs/>
          <w:sz w:val="24"/>
          <w:szCs w:val="24"/>
          <w:lang w:val="zh-CN"/>
        </w:rPr>
      </w:pPr>
      <w:r>
        <w:rPr>
          <w:rFonts w:hint="eastAsia" w:asciiTheme="majorEastAsia" w:hAnsiTheme="majorEastAsia" w:eastAsiaTheme="majorEastAsia" w:cstheme="majorEastAsia"/>
          <w:b/>
          <w:bCs/>
          <w:sz w:val="24"/>
          <w:szCs w:val="24"/>
          <w:lang w:val="zh-CN"/>
        </w:rPr>
        <w:t>甲方：</w:t>
      </w:r>
      <w:r>
        <w:rPr>
          <w:rFonts w:hint="eastAsia" w:asciiTheme="majorEastAsia" w:hAnsiTheme="majorEastAsia" w:eastAsiaTheme="majorEastAsia" w:cstheme="majorEastAsia"/>
          <w:bCs/>
          <w:sz w:val="24"/>
          <w:szCs w:val="24"/>
          <w:lang w:val="zh-CN"/>
        </w:rPr>
        <w:t>（前款所称采购人）         住所：</w:t>
      </w:r>
    </w:p>
    <w:p w14:paraId="42E2BE0F">
      <w:pPr>
        <w:tabs>
          <w:tab w:val="left" w:pos="735"/>
        </w:tabs>
        <w:autoSpaceDE w:val="0"/>
        <w:autoSpaceDN w:val="0"/>
        <w:adjustRightInd w:val="0"/>
        <w:snapToGrid w:val="0"/>
        <w:spacing w:line="358" w:lineRule="auto"/>
        <w:ind w:firstLine="631"/>
        <w:rPr>
          <w:rFonts w:hint="eastAsia"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
          <w:bCs/>
          <w:sz w:val="24"/>
          <w:szCs w:val="24"/>
          <w:lang w:val="zh-CN"/>
        </w:rPr>
        <w:t>乙方：</w:t>
      </w:r>
      <w:r>
        <w:rPr>
          <w:rFonts w:hint="eastAsia" w:asciiTheme="majorEastAsia" w:hAnsiTheme="majorEastAsia" w:eastAsiaTheme="majorEastAsia" w:cstheme="majorEastAsia"/>
          <w:bCs/>
          <w:sz w:val="24"/>
          <w:szCs w:val="24"/>
          <w:lang w:val="zh-CN"/>
        </w:rPr>
        <w:t>（前款所称成交供应商）     住所：</w:t>
      </w:r>
    </w:p>
    <w:p w14:paraId="5AC9860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一、合同内容</w:t>
      </w:r>
    </w:p>
    <w:p w14:paraId="0C64A070">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（标的、数量、质量等）:</w:t>
      </w:r>
    </w:p>
    <w:p w14:paraId="2F496C33">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二、合同价款</w:t>
      </w:r>
    </w:p>
    <w:p w14:paraId="0C71C33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1、合同总价： </w:t>
      </w:r>
    </w:p>
    <w:p w14:paraId="3883A28A">
      <w:pPr>
        <w:adjustRightInd w:val="0"/>
        <w:snapToGrid w:val="0"/>
        <w:spacing w:line="358" w:lineRule="auto"/>
        <w:ind w:firstLine="480" w:firstLineChars="200"/>
        <w:rPr>
          <w:rFonts w:hint="eastAsia" w:asciiTheme="majorEastAsia" w:hAnsiTheme="majorEastAsia" w:eastAsiaTheme="majorEastAsia" w:cstheme="majorEastAsia"/>
          <w:sz w:val="24"/>
          <w:szCs w:val="24"/>
          <w:lang w:val="zh-CN"/>
        </w:rPr>
      </w:pPr>
      <w:r>
        <w:rPr>
          <w:rFonts w:hint="eastAsia" w:asciiTheme="majorEastAsia" w:hAnsiTheme="majorEastAsia" w:eastAsiaTheme="majorEastAsia" w:cstheme="majorEastAsia"/>
          <w:sz w:val="24"/>
          <w:szCs w:val="24"/>
        </w:rPr>
        <w:t>2、合同总价包括：完成所有内容的全部费用</w:t>
      </w:r>
      <w:r>
        <w:rPr>
          <w:rFonts w:hint="eastAsia" w:asciiTheme="majorEastAsia" w:hAnsiTheme="majorEastAsia" w:eastAsiaTheme="majorEastAsia" w:cstheme="majorEastAsia"/>
          <w:sz w:val="24"/>
          <w:szCs w:val="24"/>
          <w:lang w:val="zh-CN"/>
        </w:rPr>
        <w:t>。</w:t>
      </w:r>
    </w:p>
    <w:p w14:paraId="36578909">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3、合同总价一次包死，不受市场价变化的影响。</w:t>
      </w:r>
    </w:p>
    <w:p w14:paraId="5C8D1F6F">
      <w:pPr>
        <w:adjustRightInd w:val="0"/>
        <w:snapToGrid w:val="0"/>
        <w:spacing w:line="358" w:lineRule="auto"/>
        <w:ind w:firstLine="482" w:firstLineChars="200"/>
        <w:rPr>
          <w:rFonts w:hint="eastAsia" w:asciiTheme="majorEastAsia" w:hAnsiTheme="majorEastAsia" w:eastAsiaTheme="majorEastAsia" w:cstheme="majorEastAsia"/>
          <w:b/>
          <w:color w:val="auto"/>
          <w:sz w:val="24"/>
          <w:szCs w:val="24"/>
        </w:rPr>
      </w:pPr>
      <w:r>
        <w:rPr>
          <w:rFonts w:hint="eastAsia" w:asciiTheme="majorEastAsia" w:hAnsiTheme="majorEastAsia" w:eastAsiaTheme="majorEastAsia" w:cstheme="majorEastAsia"/>
          <w:b/>
          <w:color w:val="auto"/>
          <w:sz w:val="24"/>
          <w:szCs w:val="24"/>
        </w:rPr>
        <w:t>三、合同结算</w:t>
      </w:r>
    </w:p>
    <w:p w14:paraId="5B0F0C29">
      <w:pPr>
        <w:adjustRightInd w:val="0"/>
        <w:snapToGrid w:val="0"/>
        <w:spacing w:line="358"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1、资金支付条件及时间：</w:t>
      </w:r>
      <w:r>
        <w:rPr>
          <w:color w:val="auto"/>
        </w:rPr>
        <w:t>合同签订后</w:t>
      </w:r>
      <w:r>
        <w:rPr>
          <w:rFonts w:hint="eastAsia" w:asciiTheme="majorEastAsia" w:hAnsiTheme="majorEastAsia" w:eastAsiaTheme="majorEastAsia" w:cstheme="majorEastAsia"/>
          <w:color w:val="auto"/>
          <w:sz w:val="24"/>
          <w:szCs w:val="24"/>
        </w:rPr>
        <w:t xml:space="preserve">30日内付合同总金额的 </w:t>
      </w:r>
      <w:r>
        <w:rPr>
          <w:rFonts w:hint="eastAsia" w:asciiTheme="majorEastAsia" w:hAnsiTheme="majorEastAsia" w:eastAsiaTheme="majorEastAsia" w:cstheme="majorEastAsia"/>
          <w:color w:val="auto"/>
          <w:sz w:val="24"/>
          <w:szCs w:val="24"/>
          <w:lang w:val="en-US" w:eastAsia="zh-CN"/>
        </w:rPr>
        <w:t>4</w:t>
      </w:r>
      <w:r>
        <w:rPr>
          <w:rFonts w:hint="eastAsia" w:asciiTheme="majorEastAsia" w:hAnsiTheme="majorEastAsia" w:eastAsiaTheme="majorEastAsia" w:cstheme="majorEastAsia"/>
          <w:color w:val="auto"/>
          <w:sz w:val="24"/>
          <w:szCs w:val="24"/>
        </w:rPr>
        <w:t xml:space="preserve">0.00%， 服务完成，经采购人验收合格后30日内支付合同总金额的 </w:t>
      </w:r>
      <w:r>
        <w:rPr>
          <w:rFonts w:hint="eastAsia" w:asciiTheme="majorEastAsia" w:hAnsiTheme="majorEastAsia" w:eastAsiaTheme="majorEastAsia" w:cstheme="majorEastAsia"/>
          <w:color w:val="auto"/>
          <w:sz w:val="24"/>
          <w:szCs w:val="24"/>
          <w:lang w:val="en-US" w:eastAsia="zh-CN"/>
        </w:rPr>
        <w:t>6</w:t>
      </w:r>
      <w:r>
        <w:rPr>
          <w:rFonts w:hint="eastAsia" w:asciiTheme="majorEastAsia" w:hAnsiTheme="majorEastAsia" w:eastAsiaTheme="majorEastAsia" w:cstheme="majorEastAsia"/>
          <w:color w:val="auto"/>
          <w:sz w:val="24"/>
          <w:szCs w:val="24"/>
        </w:rPr>
        <w:t>0.00%。</w:t>
      </w:r>
    </w:p>
    <w:p w14:paraId="02FFB026">
      <w:pPr>
        <w:adjustRightInd w:val="0"/>
        <w:snapToGrid w:val="0"/>
        <w:spacing w:line="358"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2、结算方式：银行转账。</w:t>
      </w:r>
    </w:p>
    <w:p w14:paraId="5942F4B7">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2-1、项目结算：结算审计是项目结算的必要条件，实际结算金额应以结算审计的审定金额为准。</w:t>
      </w:r>
    </w:p>
    <w:p w14:paraId="76078AB6">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2-2、最终结算价格不得超过成交金额。</w:t>
      </w:r>
    </w:p>
    <w:p w14:paraId="1180EB1C">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2-3、因本项目为政府采购项目，若因相关政策或财务程序等影响，导致采购人不能及时付款供应商应予以宽容，采购人不构成违约。</w:t>
      </w:r>
    </w:p>
    <w:p w14:paraId="002DF4E5">
      <w:pPr>
        <w:adjustRightInd w:val="0"/>
        <w:snapToGrid w:val="0"/>
        <w:spacing w:line="358"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3、结算单位：由</w:t>
      </w:r>
      <w:r>
        <w:rPr>
          <w:rFonts w:hint="eastAsia" w:asciiTheme="majorEastAsia" w:hAnsiTheme="majorEastAsia" w:eastAsiaTheme="majorEastAsia" w:cstheme="majorEastAsia"/>
          <w:color w:val="auto"/>
          <w:sz w:val="24"/>
          <w:szCs w:val="24"/>
          <w:u w:val="single"/>
        </w:rPr>
        <w:t>采购人</w:t>
      </w:r>
      <w:r>
        <w:rPr>
          <w:rFonts w:hint="eastAsia" w:asciiTheme="majorEastAsia" w:hAnsiTheme="majorEastAsia" w:eastAsiaTheme="majorEastAsia" w:cstheme="majorEastAsia"/>
          <w:color w:val="auto"/>
          <w:sz w:val="24"/>
          <w:szCs w:val="24"/>
        </w:rPr>
        <w:t>负责结算，供应商开具付款等额发票交采购人。</w:t>
      </w:r>
    </w:p>
    <w:p w14:paraId="3BCC7AF4">
      <w:pPr>
        <w:adjustRightInd w:val="0"/>
        <w:snapToGrid w:val="0"/>
        <w:spacing w:line="358" w:lineRule="auto"/>
        <w:ind w:firstLine="482" w:firstLineChars="200"/>
        <w:rPr>
          <w:rFonts w:hint="eastAsia" w:asciiTheme="majorEastAsia" w:hAnsiTheme="majorEastAsia" w:eastAsiaTheme="majorEastAsia" w:cstheme="majorEastAsia"/>
          <w:b/>
          <w:color w:val="auto"/>
          <w:sz w:val="24"/>
          <w:szCs w:val="24"/>
        </w:rPr>
      </w:pPr>
      <w:r>
        <w:rPr>
          <w:rFonts w:hint="eastAsia" w:asciiTheme="majorEastAsia" w:hAnsiTheme="majorEastAsia" w:eastAsiaTheme="majorEastAsia" w:cstheme="majorEastAsia"/>
          <w:b/>
          <w:color w:val="auto"/>
          <w:sz w:val="24"/>
          <w:szCs w:val="24"/>
        </w:rPr>
        <w:t>四、服务期、地点及方式:</w:t>
      </w:r>
    </w:p>
    <w:p w14:paraId="3F4BE435">
      <w:pPr>
        <w:adjustRightInd w:val="0"/>
        <w:snapToGrid w:val="0"/>
        <w:spacing w:line="358" w:lineRule="auto"/>
        <w:ind w:firstLine="480" w:firstLineChars="2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color w:val="auto"/>
          <w:sz w:val="24"/>
          <w:szCs w:val="24"/>
        </w:rPr>
        <w:t>1、服务期：</w:t>
      </w:r>
      <w:r>
        <w:rPr>
          <w:rFonts w:hint="eastAsia" w:asciiTheme="majorEastAsia" w:hAnsiTheme="majorEastAsia" w:eastAsiaTheme="majorEastAsia" w:cstheme="majorEastAsia"/>
          <w:color w:val="auto"/>
          <w:sz w:val="24"/>
          <w:szCs w:val="24"/>
          <w:lang w:val="en-US" w:eastAsia="zh-CN"/>
        </w:rPr>
        <w:t>一年</w:t>
      </w:r>
      <w:r>
        <w:rPr>
          <w:rFonts w:hint="eastAsia" w:asciiTheme="majorEastAsia" w:hAnsiTheme="majorEastAsia" w:eastAsiaTheme="majorEastAsia" w:cstheme="majorEastAsia"/>
          <w:color w:val="auto"/>
          <w:sz w:val="24"/>
          <w:szCs w:val="24"/>
          <w:lang w:val="zh-CN"/>
        </w:rPr>
        <w:t>。</w:t>
      </w:r>
    </w:p>
    <w:p w14:paraId="12A5359F">
      <w:pPr>
        <w:adjustRightInd w:val="0"/>
        <w:snapToGrid w:val="0"/>
        <w:spacing w:line="360" w:lineRule="auto"/>
        <w:ind w:firstLine="480" w:firstLineChars="200"/>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2、地点：</w:t>
      </w:r>
      <w:r>
        <w:rPr>
          <w:rFonts w:hint="eastAsia" w:asciiTheme="majorEastAsia" w:hAnsiTheme="majorEastAsia" w:eastAsiaTheme="majorEastAsia" w:cstheme="majorEastAsia"/>
          <w:bCs/>
          <w:color w:val="auto"/>
          <w:sz w:val="24"/>
          <w:szCs w:val="24"/>
          <w:lang w:val="zh-CN"/>
        </w:rPr>
        <w:t>按照采购人要求</w:t>
      </w:r>
    </w:p>
    <w:p w14:paraId="07C0C40B">
      <w:pPr>
        <w:adjustRightInd w:val="0"/>
        <w:snapToGrid w:val="0"/>
        <w:spacing w:line="358" w:lineRule="auto"/>
        <w:ind w:firstLine="480" w:firstLineChars="200"/>
        <w:rPr>
          <w:rFonts w:hint="eastAsia"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color w:val="auto"/>
          <w:sz w:val="24"/>
          <w:szCs w:val="24"/>
        </w:rPr>
        <w:t>3、方式：</w:t>
      </w:r>
      <w:r>
        <w:rPr>
          <w:rFonts w:hint="eastAsia" w:asciiTheme="majorEastAsia" w:hAnsiTheme="majorEastAsia" w:eastAsiaTheme="majorEastAsia" w:cstheme="majorEastAsia"/>
          <w:bCs/>
          <w:color w:val="auto"/>
          <w:sz w:val="24"/>
          <w:szCs w:val="24"/>
          <w:lang w:val="zh-CN"/>
        </w:rPr>
        <w:t>按照采购人要求</w:t>
      </w:r>
    </w:p>
    <w:p w14:paraId="613F6BE8">
      <w:pPr>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五、其他事项：</w:t>
      </w:r>
      <w:bookmarkStart w:id="4" w:name="_GoBack"/>
      <w:bookmarkEnd w:id="4"/>
    </w:p>
    <w:p w14:paraId="72A986A7">
      <w:pPr>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1、乙方不得转让、分包给其它单位或个人。</w:t>
      </w:r>
    </w:p>
    <w:p w14:paraId="074B3490">
      <w:pPr>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2、乙方的响应文件和承诺等内容将列入合同。</w:t>
      </w:r>
    </w:p>
    <w:p w14:paraId="7B8F8746">
      <w:pPr>
        <w:adjustRightInd w:val="0"/>
        <w:snapToGrid w:val="0"/>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六、甲方权利和义务</w:t>
      </w:r>
    </w:p>
    <w:p w14:paraId="2672A14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1、甲方有权对合同规定范围内乙方的服务行为进行监督和检查，拥有监管权；对甲方认为不合理的部分有权下达整改通知书，并要求乙方限期整改。</w:t>
      </w:r>
    </w:p>
    <w:p w14:paraId="39B95512">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2、乙方服务人员有以下情形之一的，甲方可立即通知并退回乙方，且由乙方更换合格服务人员，甲方可视情况追究其相关法律责任和经济损失：</w:t>
      </w:r>
    </w:p>
    <w:p w14:paraId="021AF3D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严重违反劳动纪律、规章制度的；</w:t>
      </w:r>
    </w:p>
    <w:p w14:paraId="2464526A">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2</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工作严重失职，造成重大损失的；</w:t>
      </w:r>
    </w:p>
    <w:p w14:paraId="165CA041">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3</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泄露机密或者违反保密规定，造成损失的；</w:t>
      </w:r>
    </w:p>
    <w:p w14:paraId="32A1FFEA">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4</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因身体原因、精神原因不能胜任工作需要的。</w:t>
      </w:r>
    </w:p>
    <w:p w14:paraId="6442ACB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3、国家法律、法规所规定由甲方承担的其它责任。</w:t>
      </w:r>
    </w:p>
    <w:p w14:paraId="061E24B0">
      <w:pPr>
        <w:adjustRightInd w:val="0"/>
        <w:snapToGrid w:val="0"/>
        <w:spacing w:line="360"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七、乙方的权利和义务</w:t>
      </w:r>
    </w:p>
    <w:p w14:paraId="52380255">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 xml:space="preserve">1、委派其间乙方应依据其管理制度负责服务人员的薪酬及福利。乙方工作人员在服务期间发生的人身及财产损害，由乙方自行负责； </w:t>
      </w:r>
    </w:p>
    <w:p w14:paraId="01D05AC9">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2、乙方如根据工作需要，决定将服务人员岗位进行调整，应提前30个工作日通知甲方，同时替换甲方认可的服务人员。</w:t>
      </w:r>
    </w:p>
    <w:p w14:paraId="24E51A1A">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3、及时向甲方通告本项目服务范围内有关服务的重大事项，及时配合处理投诉。</w:t>
      </w:r>
    </w:p>
    <w:p w14:paraId="1E55BD86">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4、接受政府有关部门的指导，接受甲方的监督。</w:t>
      </w:r>
    </w:p>
    <w:p w14:paraId="26EFCB64">
      <w:pPr>
        <w:adjustRightInd w:val="0"/>
        <w:snapToGrid w:val="0"/>
        <w:spacing w:line="360"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5、国家法律、法规所规定由乙方承担的其它责任。</w:t>
      </w:r>
    </w:p>
    <w:p w14:paraId="20123A02">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八、保密条款</w:t>
      </w:r>
    </w:p>
    <w:p w14:paraId="38879BAD">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1、保密条款</w:t>
      </w:r>
    </w:p>
    <w:p w14:paraId="0482311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1-1、本合同一方(“披露方”)对其向本合同另一方(“接受方”)按照本合同(或就本合同)所提供/披露的各类技术和商业资料、规格说明、图纸、文件及专有技术(统称“保密资料”)享有合法所有权及/或其他权利。</w:t>
      </w:r>
    </w:p>
    <w:p w14:paraId="0B7E2FD0">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-2、接受方应将保密资料作为商业秘密予以保护。除本合同授权实施的行为外，接受方不得将保密资料部分地或全部地对外披露。接受方可仅为本合同目的向其确有知悉必要的雇员披露对方提供的保密资料，但同时须指示其雇员遵守本条规定的保密及不披露义务。</w:t>
      </w:r>
    </w:p>
    <w:p w14:paraId="5A739558">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-3、接受方仅得为履行本合同之目的对保密资料进行复制。接受方应当在合同终止或解除时将保密资料原件全部返还披露方，并销毁所有复制件。接受方应当妥善保管保密资料，并对保密资料在接受方期间发生的被盗、泄露或其他有损保密资料保密性的事件承担全部责任，因此造成披露方损失的，接受方应负责赔偿。</w:t>
      </w:r>
    </w:p>
    <w:p w14:paraId="250E2EB2">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1-4、当出现下述情况时，本条对保密资料的限制不适用。当保密资料：</w:t>
      </w:r>
    </w:p>
    <w:p w14:paraId="4EAE99E2">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（1）并非接受方的过错而已经进入公有领域的。</w:t>
      </w:r>
    </w:p>
    <w:p w14:paraId="7FC7573C">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（2）已通过该方的有关记录证明是由接受方独立开发的。</w:t>
      </w:r>
    </w:p>
    <w:p w14:paraId="599261B1">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（3）由接受方从没有违反对披露方的保密义务的人合法取得的。</w:t>
      </w:r>
    </w:p>
    <w:p w14:paraId="6B45CEF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（4）法律要求接受方披露的，但接受方应在合理的时间提前书面通知披露方，使其得以采取其认为必要的保护措施。</w:t>
      </w:r>
    </w:p>
    <w:p w14:paraId="4C4FE25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1-5、本保密条款有效期为本合同生效之日起[ 1 ]年。</w:t>
      </w:r>
    </w:p>
    <w:p w14:paraId="3A256EC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1-6、本条约定不适用于各方向其关联公司提供或披露保密资料的情形。</w:t>
      </w:r>
    </w:p>
    <w:p w14:paraId="39C206E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九、验收要求</w:t>
      </w:r>
    </w:p>
    <w:p w14:paraId="6CC6D515">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验收依据：</w:t>
      </w:r>
    </w:p>
    <w:p w14:paraId="27D57B65">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1、合同文本、合同附件、竞争性磋商文件、磋商响应文件。</w:t>
      </w:r>
    </w:p>
    <w:p w14:paraId="174C147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2、国内相应的标准、规范。</w:t>
      </w:r>
    </w:p>
    <w:p w14:paraId="5C048BAC">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0" w:name="_Toc19515392"/>
      <w:r>
        <w:rPr>
          <w:rFonts w:hint="eastAsia" w:asciiTheme="majorEastAsia" w:hAnsiTheme="majorEastAsia" w:eastAsiaTheme="majorEastAsia" w:cstheme="majorEastAsia"/>
          <w:b/>
          <w:sz w:val="24"/>
          <w:szCs w:val="24"/>
        </w:rPr>
        <w:t>十、违约责任</w:t>
      </w:r>
      <w:bookmarkEnd w:id="0"/>
    </w:p>
    <w:p w14:paraId="16B0DCE4">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sz w:val="24"/>
          <w:szCs w:val="24"/>
        </w:rPr>
        <w:t>1、违约责任按《中华人民共和国民法典》处理中的相关条款执行。</w:t>
      </w:r>
    </w:p>
    <w:p w14:paraId="583FF8EF">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2、乙方履约延误</w:t>
      </w:r>
    </w:p>
    <w:p w14:paraId="6B23A3F7">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2-1、如乙方事先未征得甲方同意并得到甲方的谅解而单方面延迟提供服务，将按违约终止合同。</w:t>
      </w:r>
    </w:p>
    <w:p w14:paraId="2A336BCE">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2-2、乙方必须严格按照服务期要求执行，超期甲方不予支付合同款，同时保留追究相关责任的权利。</w:t>
      </w:r>
    </w:p>
    <w:p w14:paraId="2AAB74CA">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2-3、违约终止合同：未按合同要求提供服务，甲方会同监督机构有权终止合同，对乙方违约行为进行追究，同时按政府采购法的有关规定进行相应的处罚。</w:t>
      </w:r>
    </w:p>
    <w:p w14:paraId="51990D85">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十一、不可抗力事件处理</w:t>
      </w:r>
    </w:p>
    <w:p w14:paraId="4657AE2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2FDA3194">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29FBC58C">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1" w:name="_Toc19515393"/>
      <w:r>
        <w:rPr>
          <w:rFonts w:hint="eastAsia" w:asciiTheme="majorEastAsia" w:hAnsiTheme="majorEastAsia" w:eastAsiaTheme="majorEastAsia" w:cstheme="majorEastAsia"/>
          <w:b/>
          <w:sz w:val="24"/>
          <w:szCs w:val="24"/>
        </w:rPr>
        <w:t>十二、合同组成</w:t>
      </w:r>
      <w:bookmarkEnd w:id="1"/>
    </w:p>
    <w:p w14:paraId="02AB4163">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1、成交通知书</w:t>
      </w:r>
    </w:p>
    <w:p w14:paraId="577A05E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2、合同文件</w:t>
      </w:r>
    </w:p>
    <w:p w14:paraId="75E54581">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3、国家相关规范及标准</w:t>
      </w:r>
    </w:p>
    <w:p w14:paraId="20BEF52B">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4、竞争性磋商文件</w:t>
      </w:r>
    </w:p>
    <w:p w14:paraId="7C23D396">
      <w:pPr>
        <w:adjustRightInd w:val="0"/>
        <w:snapToGrid w:val="0"/>
        <w:spacing w:line="358" w:lineRule="auto"/>
        <w:ind w:firstLine="480" w:firstLineChars="2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5、磋商响应文件</w:t>
      </w:r>
    </w:p>
    <w:p w14:paraId="4ABABCCF">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2" w:name="_Toc19515394"/>
      <w:r>
        <w:rPr>
          <w:rFonts w:hint="eastAsia" w:asciiTheme="majorEastAsia" w:hAnsiTheme="majorEastAsia" w:eastAsiaTheme="majorEastAsia" w:cstheme="majorEastAsia"/>
          <w:b/>
          <w:sz w:val="24"/>
          <w:szCs w:val="24"/>
        </w:rPr>
        <w:t>十三、解决争议的方法</w:t>
      </w:r>
      <w:bookmarkEnd w:id="2"/>
    </w:p>
    <w:p w14:paraId="245CB5C0">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凡因本合同引起的或与本合同有关的争议，双方应友好协商解决。协商不成时，双方均同意采用以下第（  ）种争议解决方式：</w:t>
      </w:r>
    </w:p>
    <w:p w14:paraId="74909C7B">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（1）甲、乙双方均同意向（甲方所在地人民法院）提起诉讼。</w:t>
      </w:r>
    </w:p>
    <w:p w14:paraId="2DD3B4B0">
      <w:pPr>
        <w:widowControl/>
        <w:autoSpaceDE w:val="0"/>
        <w:autoSpaceDN w:val="0"/>
        <w:snapToGrid w:val="0"/>
        <w:spacing w:line="358" w:lineRule="auto"/>
        <w:ind w:right="-110" w:firstLine="480" w:firstLineChars="200"/>
        <w:textAlignment w:val="bottom"/>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（2）甲、乙双方均同意向（</w:t>
      </w: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HYPERLINK "http://www.baidu.com/s?wd=%E4%BB%B2%E8%A3%81%E5%A7%94%E5%91%98%E4%BC%9A&amp;tn=SE_PcZhidaonwhc_ngpagmjz&amp;rsv_dl=gh_pc_zhidao" \t "_blank"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kern w:val="0"/>
          <w:sz w:val="24"/>
          <w:szCs w:val="24"/>
        </w:rPr>
        <w:t>仲裁委员会</w:t>
      </w:r>
      <w:r>
        <w:rPr>
          <w:rFonts w:hint="eastAsia" w:asciiTheme="majorEastAsia" w:hAnsiTheme="majorEastAsia" w:eastAsiaTheme="majorEastAsia" w:cstheme="majorEastAsia"/>
          <w:kern w:val="0"/>
          <w:sz w:val="24"/>
          <w:szCs w:val="24"/>
        </w:rPr>
        <w:fldChar w:fldCharType="end"/>
      </w:r>
      <w:r>
        <w:rPr>
          <w:rFonts w:hint="eastAsia" w:asciiTheme="majorEastAsia" w:hAnsiTheme="majorEastAsia" w:eastAsiaTheme="majorEastAsia" w:cstheme="majorEastAsia"/>
          <w:kern w:val="0"/>
          <w:sz w:val="24"/>
          <w:szCs w:val="24"/>
        </w:rPr>
        <w:t>）提起仲裁。</w:t>
      </w:r>
    </w:p>
    <w:p w14:paraId="08878FC6">
      <w:pPr>
        <w:adjustRightInd w:val="0"/>
        <w:snapToGrid w:val="0"/>
        <w:spacing w:line="358" w:lineRule="auto"/>
        <w:ind w:firstLine="482" w:firstLineChars="200"/>
        <w:rPr>
          <w:rFonts w:hint="eastAsia" w:asciiTheme="majorEastAsia" w:hAnsiTheme="majorEastAsia" w:eastAsiaTheme="majorEastAsia" w:cstheme="majorEastAsia"/>
          <w:b/>
          <w:sz w:val="24"/>
          <w:szCs w:val="24"/>
        </w:rPr>
      </w:pPr>
      <w:bookmarkStart w:id="3" w:name="_Toc19515395"/>
      <w:r>
        <w:rPr>
          <w:rFonts w:hint="eastAsia" w:asciiTheme="majorEastAsia" w:hAnsiTheme="majorEastAsia" w:eastAsiaTheme="majorEastAsia" w:cstheme="majorEastAsia"/>
          <w:b/>
          <w:sz w:val="24"/>
          <w:szCs w:val="24"/>
        </w:rPr>
        <w:t>十四、合同生效及其它</w:t>
      </w:r>
      <w:bookmarkEnd w:id="3"/>
    </w:p>
    <w:p w14:paraId="5C300635">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1、合同未尽事宜、由甲、乙双方协商，作为合同补充，与原合同具有同等法律效力。</w:t>
      </w:r>
    </w:p>
    <w:p w14:paraId="730501A7">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2、 本合同一式</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份，甲方、乙方双方分别执</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备案</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份。</w:t>
      </w:r>
    </w:p>
    <w:p w14:paraId="2ECF86EF">
      <w:pPr>
        <w:adjustRightInd w:val="0"/>
        <w:snapToGrid w:val="0"/>
        <w:spacing w:line="358" w:lineRule="auto"/>
        <w:ind w:firstLine="480" w:firstLineChars="20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kern w:val="0"/>
          <w:sz w:val="24"/>
          <w:szCs w:val="24"/>
        </w:rPr>
        <w:t>3、合同经甲乙双方盖章、签字后生效，合同签订地点为</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w:t>
      </w:r>
    </w:p>
    <w:p w14:paraId="0FEB4B4B">
      <w:pPr>
        <w:adjustRightInd w:val="0"/>
        <w:snapToGrid w:val="0"/>
        <w:spacing w:line="358" w:lineRule="auto"/>
        <w:ind w:firstLine="480" w:firstLineChars="200"/>
        <w:rPr>
          <w:rFonts w:hint="eastAsia"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4、生效时间：</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 xml:space="preserve">年 </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月</w:t>
      </w:r>
      <w:r>
        <w:rPr>
          <w:rFonts w:hint="eastAsia" w:asciiTheme="majorEastAsia" w:hAnsiTheme="majorEastAsia" w:eastAsiaTheme="majorEastAsia" w:cstheme="majorEastAsia"/>
          <w:kern w:val="0"/>
          <w:sz w:val="24"/>
          <w:szCs w:val="24"/>
          <w:u w:val="single"/>
        </w:rPr>
        <w:t xml:space="preserve">   </w:t>
      </w:r>
      <w:r>
        <w:rPr>
          <w:rFonts w:hint="eastAsia" w:asciiTheme="majorEastAsia" w:hAnsiTheme="majorEastAsia" w:eastAsiaTheme="majorEastAsia" w:cstheme="majorEastAsia"/>
          <w:kern w:val="0"/>
          <w:sz w:val="24"/>
          <w:szCs w:val="24"/>
        </w:rPr>
        <w:t>日</w:t>
      </w:r>
    </w:p>
    <w:tbl>
      <w:tblPr>
        <w:tblStyle w:val="4"/>
        <w:tblW w:w="0" w:type="auto"/>
        <w:jc w:val="center"/>
        <w:tblLayout w:type="fixed"/>
        <w:tblCellMar>
          <w:top w:w="0" w:type="dxa"/>
          <w:left w:w="108" w:type="dxa"/>
          <w:bottom w:w="0" w:type="dxa"/>
          <w:right w:w="108" w:type="dxa"/>
        </w:tblCellMar>
      </w:tblPr>
      <w:tblGrid>
        <w:gridCol w:w="4644"/>
        <w:gridCol w:w="4642"/>
      </w:tblGrid>
      <w:tr w14:paraId="0BC3BE6C">
        <w:trPr>
          <w:jc w:val="center"/>
        </w:trPr>
        <w:tc>
          <w:tcPr>
            <w:tcW w:w="4644" w:type="dxa"/>
            <w:noWrap w:val="0"/>
            <w:vAlign w:val="top"/>
          </w:tcPr>
          <w:p w14:paraId="7AD88F7D">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甲方名称（盖章）:</w:t>
            </w:r>
          </w:p>
          <w:p w14:paraId="2ADE3C4F">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p>
          <w:p w14:paraId="2B90E0A5">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代表人（签字）：</w:t>
            </w:r>
          </w:p>
          <w:p w14:paraId="70FF1180">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电话：</w:t>
            </w:r>
          </w:p>
          <w:p w14:paraId="00B69BF1">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开户银行：</w:t>
            </w:r>
          </w:p>
          <w:p w14:paraId="62BC7B50">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账</w:t>
            </w:r>
            <w:r>
              <w:rPr>
                <w:rFonts w:hint="eastAsia" w:asciiTheme="majorEastAsia" w:hAnsiTheme="majorEastAsia" w:eastAsiaTheme="majorEastAsia" w:cstheme="majorEastAsia"/>
                <w:sz w:val="24"/>
                <w:szCs w:val="24"/>
              </w:rPr>
              <w:t>号：</w:t>
            </w:r>
          </w:p>
        </w:tc>
        <w:tc>
          <w:tcPr>
            <w:tcW w:w="4642" w:type="dxa"/>
            <w:noWrap w:val="0"/>
            <w:vAlign w:val="top"/>
          </w:tcPr>
          <w:p w14:paraId="5282FC05">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乙方名称（盖章）:</w:t>
            </w:r>
          </w:p>
          <w:p w14:paraId="3AD83939">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地址：</w:t>
            </w:r>
          </w:p>
          <w:p w14:paraId="5D653B08">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代表人（签字）：</w:t>
            </w:r>
          </w:p>
          <w:p w14:paraId="44AD80B6">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电话：</w:t>
            </w:r>
          </w:p>
          <w:p w14:paraId="5CD7352E">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开户银行：</w:t>
            </w:r>
          </w:p>
          <w:p w14:paraId="13B6B1A7">
            <w:pPr>
              <w:keepNext w:val="0"/>
              <w:keepLines w:val="0"/>
              <w:suppressLineNumbers w:val="0"/>
              <w:spacing w:before="0" w:beforeAutospacing="0" w:after="0" w:afterAutospacing="0" w:line="360" w:lineRule="auto"/>
              <w:ind w:left="0" w:right="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账</w:t>
            </w:r>
            <w:r>
              <w:rPr>
                <w:rFonts w:hint="eastAsia" w:asciiTheme="majorEastAsia" w:hAnsiTheme="majorEastAsia" w:eastAsiaTheme="majorEastAsia" w:cstheme="majorEastAsia"/>
                <w:sz w:val="24"/>
                <w:szCs w:val="24"/>
              </w:rPr>
              <w:t>号：</w:t>
            </w:r>
          </w:p>
        </w:tc>
      </w:tr>
    </w:tbl>
    <w:p w14:paraId="732D1F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9F1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2025-05-29T09:26:37Z</dcterms:created>
  <dc:creator>Lenovo</dc:creator>
  <cp:lastModifiedBy>钟声</cp:lastModifiedBy>
  <dcterms:modified xsi:type="dcterms:W3CDTF">2025-05-29T09:27:11Z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694AA78F4C854EAF9B010BA202DCA51C_12</vt:lpwstr>
  </property>
</Properties>
</file>