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版本号：SXZB-2025-ZB250120250529001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2025欧亚经济论坛整体宣传服务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SXZB-2025-ZB2501</w:t>
      </w:r>
      <w:r>
        <w:br/>
      </w:r>
      <w:r>
        <w:br/>
      </w:r>
      <w:r>
        <w:br/>
      </w:r>
    </w:p>
    <w:p>
      <w:pPr>
        <w:pStyle w:val="null3"/>
        <w:jc w:val="center"/>
        <w:outlineLvl w:val="2"/>
      </w:pPr>
      <w:r>
        <w:rPr>
          <w:rFonts w:ascii="仿宋_GB2312" w:hAnsi="仿宋_GB2312" w:cs="仿宋_GB2312" w:eastAsia="仿宋_GB2312"/>
          <w:sz w:val="28"/>
          <w:b/>
        </w:rPr>
        <w:t>西安市博览事务中心</w:t>
      </w:r>
    </w:p>
    <w:p>
      <w:pPr>
        <w:pStyle w:val="null3"/>
        <w:jc w:val="center"/>
        <w:outlineLvl w:val="2"/>
      </w:pPr>
      <w:r>
        <w:rPr>
          <w:rFonts w:ascii="仿宋_GB2312" w:hAnsi="仿宋_GB2312" w:cs="仿宋_GB2312" w:eastAsia="仿宋_GB2312"/>
          <w:sz w:val="28"/>
          <w:b/>
        </w:rPr>
        <w:t>陕西中百项目管理有限公司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西安市博览事务中心</w:t>
      </w:r>
      <w:r>
        <w:rPr>
          <w:rFonts w:ascii="仿宋_GB2312" w:hAnsi="仿宋_GB2312" w:cs="仿宋_GB2312" w:eastAsia="仿宋_GB2312"/>
        </w:rPr>
        <w:t>委托，拟对</w:t>
      </w:r>
      <w:r>
        <w:rPr>
          <w:rFonts w:ascii="仿宋_GB2312" w:hAnsi="仿宋_GB2312" w:cs="仿宋_GB2312" w:eastAsia="仿宋_GB2312"/>
        </w:rPr>
        <w:t>2025欧亚经济论坛整体宣传服务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SXZB-2025-ZB2501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2025欧亚经济论坛整体宣传服务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欧亚经济论坛整体宣传工作将总结往届论坛媒体宣传工作经验，学习借鉴中国一中亚峰会宣传工作经验，突出话题性，聚集媒体力量，分重点分主题分时期统筹做好宣传工作，充分展现论坛作为推动“一带一路”建设重要平台作用，展现陕西、西安扩大对外开放发展建设成就，提升论坛知名度和品牌影响力。 2025欧亚经济论坛整体宣传将按照“立足权威媒体，提升宣发效果；依托论坛媒体联盟，叠加宣传效应；优化外宣表达，讲好西安故事”的工作思路，通过高水准方案策划、多渠道资源整合、多维度宣传推广、高质效执行落实，以论坛媒体联盟成立为契机，充分借助央级、省市级权威媒体和海内外主流媒体，充分发挥新媒体优势，全方位、多层面、分阶段统筹推进论坛整体宣传工作，有效提升欧亚经济论坛品牌影响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采购包1（2025欧亚经济论坛整体宣传服务）：属于专门面向中小企业采购。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1、有效的主体资格证明：具有独立承担民事责任能力的法人、其他组织或自然人，并出具合法有效的营业执照或事业单位法人证书等国家规定的相关证明资料，自然人参与的提供其身份证明；</w:t>
      </w:r>
    </w:p>
    <w:p>
      <w:pPr>
        <w:pStyle w:val="null3"/>
      </w:pPr>
      <w:r>
        <w:rPr>
          <w:rFonts w:ascii="仿宋_GB2312" w:hAnsi="仿宋_GB2312" w:cs="仿宋_GB2312" w:eastAsia="仿宋_GB2312"/>
        </w:rPr>
        <w:t>2、法人证明或授权：法定代表人授权书和被授权人的身份证，法定代表人参加投标时，须提供本人身份证明；</w:t>
      </w:r>
    </w:p>
    <w:p>
      <w:pPr>
        <w:pStyle w:val="null3"/>
      </w:pPr>
      <w:r>
        <w:rPr>
          <w:rFonts w:ascii="仿宋_GB2312" w:hAnsi="仿宋_GB2312" w:cs="仿宋_GB2312" w:eastAsia="仿宋_GB2312"/>
        </w:rPr>
        <w:t>3、财务状况：提供2023年或2024年经审计的财务审计报告(成立时间至提交投标响应文件截止时间不足年的可提供成立后任意时段的资产负债表)或其基本存款账户开户银行出具的资信证明；</w:t>
      </w:r>
    </w:p>
    <w:p>
      <w:pPr>
        <w:pStyle w:val="null3"/>
      </w:pPr>
      <w:r>
        <w:rPr>
          <w:rFonts w:ascii="仿宋_GB2312" w:hAnsi="仿宋_GB2312" w:cs="仿宋_GB2312" w:eastAsia="仿宋_GB2312"/>
        </w:rPr>
        <w:t>4、税收缴纳证明：提供2024年至今已缴纳的任意1个月的纳税证明或完税证明（纳税证明或完税证明上应有代收机构或税务机关的公章或业务章），依法免税的单位应提供相关证明材料；</w:t>
      </w:r>
    </w:p>
    <w:p>
      <w:pPr>
        <w:pStyle w:val="null3"/>
      </w:pPr>
      <w:r>
        <w:rPr>
          <w:rFonts w:ascii="仿宋_GB2312" w:hAnsi="仿宋_GB2312" w:cs="仿宋_GB2312" w:eastAsia="仿宋_GB2312"/>
        </w:rPr>
        <w:t>5、社会保障资金缴纳证明：提供2024年至今已缴存的任意1个月的社会保障资金缴存单据或社保机构开具的社会保险参保缴费情况证明，依法不需要缴纳社会保障资金的应提供相关证明材料；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7、履行合同技术能力的承诺：具有履行合同所必需的设备和专业技术能力的承诺函；</w:t>
      </w:r>
    </w:p>
    <w:p>
      <w:pPr>
        <w:pStyle w:val="null3"/>
      </w:pPr>
      <w:r>
        <w:rPr>
          <w:rFonts w:ascii="仿宋_GB2312" w:hAnsi="仿宋_GB2312" w:cs="仿宋_GB2312" w:eastAsia="仿宋_GB2312"/>
        </w:rPr>
        <w:t>8、控股管理关系：单位负责人为同一人或者存在控股、管理关系的不同供应商，不得同时参加本项目采购活动。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西安市博览事务中心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西安市莲湖区劳动南路145号市政府办公区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029-87222576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陕西省西安市雁塔区西安市曲江新区曲江大道618号汉华城11号楼16层08室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029-87453722 18502923022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代理服务费收费标准：以中标金额为基数，参照国家计委颁发的《招标代理服务收费管理暂行办法》（计价格[2002]1980 号）和国家发展改革委员会办公厅颁发的《关于招标代理服务收费有关问题的通知》（发改办价格[2003]857 号）的有关规定执行。 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西安市博览事务中心</w:t>
      </w:r>
      <w:r>
        <w:rPr>
          <w:rFonts w:ascii="仿宋_GB2312" w:hAnsi="仿宋_GB2312" w:cs="仿宋_GB2312" w:eastAsia="仿宋_GB2312"/>
        </w:rPr>
        <w:t>和</w:t>
      </w:r>
      <w:r>
        <w:rPr>
          <w:rFonts w:ascii="仿宋_GB2312" w:hAnsi="仿宋_GB2312" w:cs="仿宋_GB2312" w:eastAsia="仿宋_GB2312"/>
        </w:rPr>
        <w:t>陕西中百项目管理有限公司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西安市博览事务中心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西安市博览事务中心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联系人：张智</w:t>
      </w:r>
    </w:p>
    <w:p>
      <w:pPr>
        <w:pStyle w:val="null3"/>
      </w:pPr>
      <w:r>
        <w:rPr>
          <w:rFonts w:ascii="仿宋_GB2312" w:hAnsi="仿宋_GB2312" w:cs="仿宋_GB2312" w:eastAsia="仿宋_GB2312"/>
        </w:rPr>
        <w:t>联系电话：029-87453722 18502923022</w:t>
      </w:r>
    </w:p>
    <w:p>
      <w:pPr>
        <w:pStyle w:val="null3"/>
      </w:pPr>
      <w:r>
        <w:rPr>
          <w:rFonts w:ascii="仿宋_GB2312" w:hAnsi="仿宋_GB2312" w:cs="仿宋_GB2312" w:eastAsia="仿宋_GB2312"/>
        </w:rPr>
        <w:t>地址：陕西省西安市雁塔区西安市曲江新区曲江大道618号汉华城11号楼16层08室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欧亚经济论坛整体宣传工作将总结往届论坛媒体宣传工作经验，学习借鉴中国一中亚峰会宣传工作经验，突出话题性，聚集媒体力量，分重点分主题分时期统筹做好宣传工作，充分展现论坛作为推动“一带一路”建设重要平台作用，展现陕西、西安扩大对外开放发展建设成就，提升论坛知名度和品牌影响力。 2025欧亚经济论坛整体宣传将按照“立足权威媒体，提升宣发效果；依托论坛媒体联盟，叠加宣传效应；优化外宣表达，讲好西安故事”的工作思路，通过高水准方案策划、多渠道资源整合、多维度宣传推广、高质效执行落实，以论坛媒体联盟成立为契机，充分借助央级、省市级权威媒体和海内外主流媒体，充分发挥新媒体优势，全方位、多层面、分阶段统筹推进论坛整体宣传工作，有效提升欧亚经济论坛品牌影响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2,560,000.00</w:t>
      </w:r>
    </w:p>
    <w:p>
      <w:pPr>
        <w:pStyle w:val="null3"/>
      </w:pPr>
      <w:r>
        <w:rPr>
          <w:rFonts w:ascii="仿宋_GB2312" w:hAnsi="仿宋_GB2312" w:cs="仿宋_GB2312" w:eastAsia="仿宋_GB2312"/>
        </w:rPr>
        <w:t>采购包最高限价（元）: 2,560,000.00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2025欧亚经济论坛整体宣传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2,560,000.00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标的名称：2025欧亚经济论坛整体宣传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06"/>
              <w:jc w:val="left"/>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2025</w:t>
            </w:r>
            <w:r>
              <w:rPr>
                <w:rFonts w:ascii="仿宋_GB2312" w:hAnsi="仿宋_GB2312" w:cs="仿宋_GB2312" w:eastAsia="仿宋_GB2312"/>
                <w:sz w:val="24"/>
                <w:color w:val="000000"/>
              </w:rPr>
              <w:t>欧亚经济论坛</w:t>
            </w:r>
            <w:r>
              <w:rPr>
                <w:rFonts w:ascii="仿宋_GB2312" w:hAnsi="仿宋_GB2312" w:cs="仿宋_GB2312" w:eastAsia="仿宋_GB2312"/>
                <w:sz w:val="24"/>
                <w:color w:val="000000"/>
              </w:rPr>
              <w:t>整体</w:t>
            </w:r>
            <w:r>
              <w:rPr>
                <w:rFonts w:ascii="仿宋_GB2312" w:hAnsi="仿宋_GB2312" w:cs="仿宋_GB2312" w:eastAsia="仿宋_GB2312"/>
                <w:sz w:val="24"/>
                <w:color w:val="000000"/>
              </w:rPr>
              <w:t>宣传工作将总结往届论坛媒体宣传工作经验，学习借鉴中国一中亚峰会宣传工作经验，突出话题性，聚集媒体力量，分重点分主题分时期统筹做好宣传工作，充分展现论坛作为推动</w:t>
            </w:r>
            <w:r>
              <w:rPr>
                <w:rFonts w:ascii="仿宋_GB2312" w:hAnsi="仿宋_GB2312" w:cs="仿宋_GB2312" w:eastAsia="仿宋_GB2312"/>
                <w:sz w:val="24"/>
                <w:color w:val="000000"/>
              </w:rPr>
              <w:t>“一带一路”建设重要平台作用，展现陕西、西安扩大对外开放发展建设成就，提升论坛知名度和品牌影响力。</w:t>
            </w:r>
          </w:p>
          <w:p>
            <w:pPr>
              <w:pStyle w:val="null3"/>
              <w:ind w:firstLine="480"/>
              <w:jc w:val="both"/>
            </w:pPr>
            <w:r>
              <w:rPr>
                <w:rFonts w:ascii="仿宋_GB2312" w:hAnsi="仿宋_GB2312" w:cs="仿宋_GB2312" w:eastAsia="仿宋_GB2312"/>
                <w:sz w:val="24"/>
                <w:color w:val="000000"/>
              </w:rPr>
              <w:t>2025欧亚经济论坛整体宣传将按照“立足权威媒体，提升宣发效果；依托论坛媒体联盟，叠加宣传效应；优化外宣表达，讲好西安故事”的工作思路，通过高水准方案策划、多渠道资源整合、多维度宣传推广、高质效执行落实，以论坛媒体联盟成立为契机，充分借助央级、省市级权威媒体和海内外主流媒体，充分发挥新媒体优势，全方位、多层面、分阶段统筹推进论坛整体宣传工作，有效提升欧亚经济论坛品牌影响力。</w:t>
            </w:r>
          </w:p>
          <w:p>
            <w:pPr>
              <w:pStyle w:val="null3"/>
              <w:ind w:firstLine="506"/>
              <w:jc w:val="left"/>
            </w:pPr>
            <w:r>
              <w:rPr>
                <w:rFonts w:ascii="仿宋_GB2312" w:hAnsi="仿宋_GB2312" w:cs="仿宋_GB2312" w:eastAsia="仿宋_GB2312"/>
                <w:sz w:val="24"/>
                <w:b/>
                <w:color w:val="000000"/>
              </w:rPr>
              <w:t>二、服务内容</w:t>
            </w:r>
          </w:p>
          <w:p>
            <w:pPr>
              <w:pStyle w:val="null3"/>
              <w:ind w:firstLine="480"/>
              <w:jc w:val="both"/>
            </w:pPr>
            <w:r>
              <w:rPr>
                <w:rFonts w:ascii="仿宋_GB2312" w:hAnsi="仿宋_GB2312" w:cs="仿宋_GB2312" w:eastAsia="仿宋_GB2312"/>
                <w:sz w:val="24"/>
                <w:color w:val="000000"/>
              </w:rPr>
              <w:t>2025欧亚经济论坛整体宣传工作</w:t>
            </w:r>
            <w:r>
              <w:rPr>
                <w:rFonts w:ascii="仿宋_GB2312" w:hAnsi="仿宋_GB2312" w:cs="仿宋_GB2312" w:eastAsia="仿宋_GB2312"/>
                <w:sz w:val="24"/>
                <w:color w:val="000000"/>
              </w:rPr>
              <w:t>主要工作内容包括方案策划、新闻发布会、媒体联盟成立大会暨记者见面会、新闻采编、媒体宣发、户外宣传、媒体服务、摄影摄像、论坛报名系统运营维护、宣传片摄制、宣传品定制、传播影响力报告等。</w:t>
            </w:r>
          </w:p>
          <w:p>
            <w:pPr>
              <w:pStyle w:val="null3"/>
              <w:ind w:firstLine="482"/>
              <w:jc w:val="both"/>
            </w:pPr>
            <w:r>
              <w:rPr>
                <w:rFonts w:ascii="仿宋_GB2312" w:hAnsi="仿宋_GB2312" w:cs="仿宋_GB2312" w:eastAsia="仿宋_GB2312"/>
                <w:sz w:val="24"/>
                <w:b/>
                <w:color w:val="000000"/>
              </w:rPr>
              <w:t>三、服务要求</w:t>
            </w:r>
          </w:p>
          <w:p>
            <w:pPr>
              <w:pStyle w:val="null3"/>
              <w:ind w:firstLine="480"/>
              <w:jc w:val="both"/>
            </w:pPr>
            <w:r>
              <w:rPr>
                <w:rFonts w:ascii="仿宋_GB2312" w:hAnsi="仿宋_GB2312" w:cs="仿宋_GB2312" w:eastAsia="仿宋_GB2312"/>
                <w:sz w:val="24"/>
                <w:color w:val="000000"/>
              </w:rPr>
              <w:t>项目团队人员配置齐全</w:t>
            </w:r>
            <w:r>
              <w:rPr>
                <w:rFonts w:ascii="仿宋_GB2312" w:hAnsi="仿宋_GB2312" w:cs="仿宋_GB2312" w:eastAsia="仿宋_GB2312"/>
                <w:sz w:val="24"/>
                <w:color w:val="000000"/>
              </w:rPr>
              <w:t>、</w:t>
            </w:r>
            <w:r>
              <w:rPr>
                <w:rFonts w:ascii="仿宋_GB2312" w:hAnsi="仿宋_GB2312" w:cs="仿宋_GB2312" w:eastAsia="仿宋_GB2312"/>
                <w:sz w:val="24"/>
                <w:color w:val="000000"/>
              </w:rPr>
              <w:t>岗位分工明确</w:t>
            </w:r>
            <w:r>
              <w:rPr>
                <w:rFonts w:ascii="仿宋_GB2312" w:hAnsi="仿宋_GB2312" w:cs="仿宋_GB2312" w:eastAsia="仿宋_GB2312"/>
                <w:sz w:val="24"/>
                <w:color w:val="000000"/>
              </w:rPr>
              <w:t>、</w:t>
            </w:r>
            <w:r>
              <w:rPr>
                <w:rFonts w:ascii="仿宋_GB2312" w:hAnsi="仿宋_GB2312" w:cs="仿宋_GB2312" w:eastAsia="仿宋_GB2312"/>
                <w:sz w:val="24"/>
                <w:color w:val="000000"/>
              </w:rPr>
              <w:t>团队协作性强。严格按照工作内容及流程以及相关要求推进，快速响应各类需求，高标准高效率做好工作推进落实。</w:t>
            </w:r>
          </w:p>
          <w:p>
            <w:pPr>
              <w:pStyle w:val="null3"/>
              <w:ind w:firstLine="480"/>
              <w:jc w:val="both"/>
            </w:pPr>
            <w:r>
              <w:rPr>
                <w:rFonts w:ascii="仿宋_GB2312" w:hAnsi="仿宋_GB2312" w:cs="仿宋_GB2312" w:eastAsia="仿宋_GB2312"/>
                <w:sz w:val="24"/>
                <w:color w:val="000000"/>
              </w:rPr>
              <w:t>1.宣发途径:具备各级各类媒体资源合作机制，</w:t>
            </w:r>
            <w:r>
              <w:rPr>
                <w:rFonts w:ascii="仿宋_GB2312" w:hAnsi="仿宋_GB2312" w:cs="仿宋_GB2312" w:eastAsia="仿宋_GB2312"/>
                <w:sz w:val="24"/>
                <w:color w:val="000000"/>
              </w:rPr>
              <w:t>联合众多央省市级主流</w:t>
            </w:r>
            <w:r>
              <w:rPr>
                <w:rFonts w:ascii="仿宋_GB2312" w:hAnsi="仿宋_GB2312" w:cs="仿宋_GB2312" w:eastAsia="仿宋_GB2312"/>
                <w:sz w:val="24"/>
                <w:color w:val="000000"/>
              </w:rPr>
              <w:t>媒体</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50家，</w:t>
            </w:r>
            <w:r>
              <w:rPr>
                <w:rFonts w:ascii="仿宋_GB2312" w:hAnsi="仿宋_GB2312" w:cs="仿宋_GB2312" w:eastAsia="仿宋_GB2312"/>
                <w:sz w:val="24"/>
                <w:color w:val="000000"/>
              </w:rPr>
              <w:t>渠道皆为有效并最终投放平台。</w:t>
            </w:r>
            <w:r>
              <w:rPr>
                <w:rFonts w:ascii="仿宋_GB2312" w:hAnsi="仿宋_GB2312" w:cs="仿宋_GB2312" w:eastAsia="仿宋_GB2312"/>
                <w:sz w:val="24"/>
                <w:color w:val="000000"/>
              </w:rPr>
              <w:t>在主流媒体平台、财经类媒体平台推出论坛专题，全方位展示论坛成效。</w:t>
            </w:r>
            <w:r>
              <w:rPr>
                <w:rFonts w:ascii="仿宋_GB2312" w:hAnsi="仿宋_GB2312" w:cs="仿宋_GB2312" w:eastAsia="仿宋_GB2312"/>
                <w:sz w:val="24"/>
                <w:color w:val="000000"/>
              </w:rPr>
              <w:t>多种媒介宣传投放有机组合，各层级渠道配置合理，投放计划明确，权威性高，传播性广。</w:t>
            </w:r>
          </w:p>
          <w:p>
            <w:pPr>
              <w:pStyle w:val="null3"/>
              <w:ind w:firstLine="480"/>
              <w:jc w:val="both"/>
            </w:pPr>
            <w:r>
              <w:rPr>
                <w:rFonts w:ascii="仿宋_GB2312" w:hAnsi="仿宋_GB2312" w:cs="仿宋_GB2312" w:eastAsia="仿宋_GB2312"/>
                <w:sz w:val="24"/>
                <w:color w:val="000000"/>
              </w:rPr>
              <w:t>2.新闻</w:t>
            </w:r>
            <w:r>
              <w:rPr>
                <w:rFonts w:ascii="仿宋_GB2312" w:hAnsi="仿宋_GB2312" w:cs="仿宋_GB2312" w:eastAsia="仿宋_GB2312"/>
                <w:sz w:val="24"/>
                <w:color w:val="000000"/>
              </w:rPr>
              <w:t>采编</w:t>
            </w:r>
            <w:r>
              <w:rPr>
                <w:rFonts w:ascii="仿宋_GB2312" w:hAnsi="仿宋_GB2312" w:cs="仿宋_GB2312" w:eastAsia="仿宋_GB2312"/>
                <w:sz w:val="24"/>
                <w:color w:val="000000"/>
              </w:rPr>
              <w:t>:</w:t>
            </w:r>
            <w:r>
              <w:rPr>
                <w:rFonts w:ascii="仿宋_GB2312" w:hAnsi="仿宋_GB2312" w:cs="仿宋_GB2312" w:eastAsia="仿宋_GB2312"/>
                <w:sz w:val="24"/>
                <w:color w:val="000000"/>
              </w:rPr>
              <w:t>搭建宣发矩阵，集央省市级主流媒体及网媒、财经类头部媒体等成立欧亚经济论坛媒体联盟，邀请媒体派出记者，寻找亮点，捕捉热点，以消息、通讯、专题、简讯、特写等多种报道形式，在省市级以上主流媒体宣发，</w:t>
            </w:r>
            <w:r>
              <w:rPr>
                <w:rFonts w:ascii="仿宋_GB2312" w:hAnsi="仿宋_GB2312" w:cs="仿宋_GB2312" w:eastAsia="仿宋_GB2312"/>
                <w:sz w:val="24"/>
                <w:color w:val="000000"/>
              </w:rPr>
              <w:t>海外媒体宣传稿件覆盖面广</w:t>
            </w:r>
            <w:r>
              <w:rPr>
                <w:rFonts w:ascii="仿宋_GB2312" w:hAnsi="仿宋_GB2312" w:cs="仿宋_GB2312" w:eastAsia="仿宋_GB2312"/>
                <w:sz w:val="24"/>
                <w:color w:val="000000"/>
              </w:rPr>
              <w:t>。总发稿</w:t>
            </w:r>
            <w:r>
              <w:rPr>
                <w:rFonts w:ascii="仿宋_GB2312" w:hAnsi="仿宋_GB2312" w:cs="仿宋_GB2312" w:eastAsia="仿宋_GB2312"/>
                <w:sz w:val="24"/>
                <w:color w:val="000000"/>
              </w:rPr>
              <w:t>600篇（条）以上，其中央级媒体不少于30篇（条）。专家撰写评论稿件不少于2篇，</w:t>
            </w:r>
            <w:r>
              <w:rPr>
                <w:rFonts w:ascii="仿宋_GB2312" w:hAnsi="仿宋_GB2312" w:cs="仿宋_GB2312" w:eastAsia="仿宋_GB2312"/>
                <w:sz w:val="24"/>
                <w:color w:val="000000"/>
              </w:rPr>
              <w:t>做好新闻发布会</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50家</w:t>
            </w:r>
            <w:r>
              <w:rPr>
                <w:rFonts w:ascii="仿宋_GB2312" w:hAnsi="仿宋_GB2312" w:cs="仿宋_GB2312" w:eastAsia="仿宋_GB2312"/>
                <w:sz w:val="24"/>
                <w:color w:val="000000"/>
              </w:rPr>
              <w:t>央</w:t>
            </w:r>
            <w:r>
              <w:rPr>
                <w:rFonts w:ascii="仿宋_GB2312" w:hAnsi="仿宋_GB2312" w:cs="仿宋_GB2312" w:eastAsia="仿宋_GB2312"/>
                <w:sz w:val="24"/>
                <w:color w:val="000000"/>
              </w:rPr>
              <w:t>省市媒体邀请及服务保障，宣发数量不少于</w:t>
            </w:r>
            <w:r>
              <w:rPr>
                <w:rFonts w:ascii="仿宋_GB2312" w:hAnsi="仿宋_GB2312" w:cs="仿宋_GB2312" w:eastAsia="仿宋_GB2312"/>
                <w:sz w:val="24"/>
                <w:color w:val="000000"/>
              </w:rPr>
              <w:t>50篇（条）。</w:t>
            </w:r>
          </w:p>
          <w:p>
            <w:pPr>
              <w:pStyle w:val="null3"/>
              <w:ind w:firstLine="480"/>
              <w:jc w:val="both"/>
            </w:pPr>
            <w:r>
              <w:rPr>
                <w:rFonts w:ascii="仿宋_GB2312" w:hAnsi="仿宋_GB2312" w:cs="仿宋_GB2312" w:eastAsia="仿宋_GB2312"/>
                <w:sz w:val="24"/>
                <w:color w:val="000000"/>
              </w:rPr>
              <w:t>3.视频制作及宣发服务。策划拍摄制作宣传片，中、英、俄</w:t>
            </w:r>
            <w:r>
              <w:rPr>
                <w:rFonts w:ascii="仿宋_GB2312" w:hAnsi="仿宋_GB2312" w:cs="仿宋_GB2312" w:eastAsia="仿宋_GB2312"/>
                <w:sz w:val="24"/>
                <w:color w:val="000000"/>
              </w:rPr>
              <w:t>三语，</w:t>
            </w:r>
            <w:r>
              <w:rPr>
                <w:rFonts w:ascii="仿宋_GB2312" w:hAnsi="仿宋_GB2312" w:cs="仿宋_GB2312" w:eastAsia="仿宋_GB2312"/>
                <w:sz w:val="24"/>
                <w:color w:val="000000"/>
              </w:rPr>
              <w:t>3</w:t>
            </w:r>
            <w:r>
              <w:rPr>
                <w:rFonts w:ascii="仿宋_GB2312" w:hAnsi="仿宋_GB2312" w:cs="仿宋_GB2312" w:eastAsia="仿宋_GB2312"/>
                <w:sz w:val="24"/>
                <w:color w:val="000000"/>
              </w:rPr>
              <w:t>分钟左右</w:t>
            </w:r>
            <w:r>
              <w:rPr>
                <w:rFonts w:ascii="仿宋_GB2312" w:hAnsi="仿宋_GB2312" w:cs="仿宋_GB2312" w:eastAsia="仿宋_GB2312"/>
                <w:sz w:val="24"/>
                <w:color w:val="000000"/>
              </w:rPr>
              <w:t>；</w:t>
            </w:r>
            <w:r>
              <w:rPr>
                <w:rFonts w:ascii="仿宋_GB2312" w:hAnsi="仿宋_GB2312" w:cs="仿宋_GB2312" w:eastAsia="仿宋_GB2312"/>
                <w:sz w:val="24"/>
                <w:color w:val="000000"/>
              </w:rPr>
              <w:t>3分钟左右论坛二十周年回顾片、3分钟左右嘉宾访谈集锦片，8分钟左右成果集锦片，</w:t>
            </w:r>
            <w:r>
              <w:rPr>
                <w:rFonts w:ascii="仿宋_GB2312" w:hAnsi="仿宋_GB2312" w:cs="仿宋_GB2312" w:eastAsia="仿宋_GB2312"/>
                <w:sz w:val="24"/>
                <w:color w:val="000000"/>
              </w:rPr>
              <w:t>视频分辨率均为</w:t>
            </w:r>
            <w:r>
              <w:rPr>
                <w:rFonts w:ascii="仿宋_GB2312" w:hAnsi="仿宋_GB2312" w:cs="仿宋_GB2312" w:eastAsia="仿宋_GB2312"/>
                <w:sz w:val="24"/>
                <w:color w:val="000000"/>
              </w:rPr>
              <w:t>1920*1080，画面比例16:9，视频格式MP4，帧频25fps。配合宣发渠道进行不同规格调整和宣发。多维度</w:t>
            </w:r>
            <w:r>
              <w:rPr>
                <w:rFonts w:ascii="仿宋_GB2312" w:hAnsi="仿宋_GB2312" w:cs="仿宋_GB2312" w:eastAsia="仿宋_GB2312"/>
                <w:sz w:val="24"/>
                <w:color w:val="000000"/>
              </w:rPr>
              <w:t>系列</w:t>
            </w:r>
            <w:r>
              <w:rPr>
                <w:rFonts w:ascii="仿宋_GB2312" w:hAnsi="仿宋_GB2312" w:cs="仿宋_GB2312" w:eastAsia="仿宋_GB2312"/>
                <w:sz w:val="24"/>
                <w:color w:val="000000"/>
              </w:rPr>
              <w:t>短片</w:t>
            </w:r>
            <w:r>
              <w:rPr>
                <w:rFonts w:ascii="仿宋_GB2312" w:hAnsi="仿宋_GB2312" w:cs="仿宋_GB2312" w:eastAsia="仿宋_GB2312"/>
                <w:sz w:val="24"/>
                <w:color w:val="000000"/>
              </w:rPr>
              <w:t>30s-3分钟内，不少于8个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做好重点工作、重要嘉宾专访宣传报道等。借助全媒体优势，在</w:t>
            </w:r>
            <w:r>
              <w:rPr>
                <w:rFonts w:ascii="仿宋_GB2312" w:hAnsi="仿宋_GB2312" w:cs="仿宋_GB2312" w:eastAsia="仿宋_GB2312"/>
                <w:sz w:val="24"/>
                <w:color w:val="000000"/>
              </w:rPr>
              <w:t>央省市级主流媒体、</w:t>
            </w:r>
            <w:r>
              <w:rPr>
                <w:rFonts w:ascii="仿宋_GB2312" w:hAnsi="仿宋_GB2312" w:cs="仿宋_GB2312" w:eastAsia="仿宋_GB2312"/>
                <w:sz w:val="24"/>
                <w:color w:val="000000"/>
              </w:rPr>
              <w:t>相关网站、</w:t>
            </w:r>
            <w:r>
              <w:rPr>
                <w:rFonts w:ascii="仿宋_GB2312" w:hAnsi="仿宋_GB2312" w:cs="仿宋_GB2312" w:eastAsia="仿宋_GB2312"/>
                <w:sz w:val="24"/>
                <w:color w:val="000000"/>
              </w:rPr>
              <w:t>新媒体平台</w:t>
            </w:r>
            <w:r>
              <w:rPr>
                <w:rFonts w:ascii="仿宋_GB2312" w:hAnsi="仿宋_GB2312" w:cs="仿宋_GB2312" w:eastAsia="仿宋_GB2312"/>
                <w:sz w:val="24"/>
                <w:color w:val="000000"/>
              </w:rPr>
              <w:t>投放，进行宣传推广</w:t>
            </w:r>
            <w:r>
              <w:rPr>
                <w:rFonts w:ascii="仿宋_GB2312" w:hAnsi="仿宋_GB2312" w:cs="仿宋_GB2312" w:eastAsia="仿宋_GB2312"/>
                <w:sz w:val="24"/>
                <w:color w:val="000000"/>
              </w:rPr>
              <w:t>，总播出时间不少于</w:t>
            </w:r>
            <w:r>
              <w:rPr>
                <w:rFonts w:ascii="仿宋_GB2312" w:hAnsi="仿宋_GB2312" w:cs="仿宋_GB2312" w:eastAsia="仿宋_GB2312"/>
                <w:sz w:val="24"/>
                <w:color w:val="000000"/>
              </w:rPr>
              <w:t>7天，画面露出不少于10万次</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户外</w:t>
            </w:r>
            <w:r>
              <w:rPr>
                <w:rFonts w:ascii="仿宋_GB2312" w:hAnsi="仿宋_GB2312" w:cs="仿宋_GB2312" w:eastAsia="仿宋_GB2312"/>
                <w:sz w:val="24"/>
                <w:color w:val="000000"/>
              </w:rPr>
              <w:t>氛围营造</w:t>
            </w:r>
            <w:r>
              <w:rPr>
                <w:rFonts w:ascii="仿宋_GB2312" w:hAnsi="仿宋_GB2312" w:cs="仿宋_GB2312" w:eastAsia="仿宋_GB2312"/>
                <w:sz w:val="24"/>
                <w:color w:val="000000"/>
              </w:rPr>
              <w:t>:在高铁、机场大屏、市区LED、地铁站台及电视等平台发布。投放区域、时间设置合理，精准覆盖目标人群，提供静态素材/动态素材完稿，突出欧亚经济论坛“二十年”和“第十一届”这两个特征。时长不少于</w:t>
            </w:r>
            <w:r>
              <w:rPr>
                <w:rFonts w:ascii="仿宋_GB2312" w:hAnsi="仿宋_GB2312" w:cs="仿宋_GB2312" w:eastAsia="仿宋_GB2312"/>
                <w:sz w:val="24"/>
                <w:color w:val="000000"/>
              </w:rPr>
              <w:t>10天</w:t>
            </w:r>
            <w:r>
              <w:rPr>
                <w:rFonts w:ascii="仿宋_GB2312" w:hAnsi="仿宋_GB2312" w:cs="仿宋_GB2312" w:eastAsia="仿宋_GB2312"/>
                <w:sz w:val="24"/>
                <w:color w:val="000000"/>
              </w:rPr>
              <w:t>。形式不少于</w:t>
            </w:r>
            <w:r>
              <w:rPr>
                <w:rFonts w:ascii="仿宋_GB2312" w:hAnsi="仿宋_GB2312" w:cs="仿宋_GB2312" w:eastAsia="仿宋_GB2312"/>
                <w:sz w:val="24"/>
                <w:color w:val="000000"/>
              </w:rPr>
              <w:t>2种(语音，平面，视频)。</w:t>
            </w:r>
          </w:p>
          <w:p>
            <w:pPr>
              <w:pStyle w:val="null3"/>
              <w:ind w:firstLine="480"/>
              <w:jc w:val="both"/>
            </w:pPr>
            <w:r>
              <w:rPr>
                <w:rFonts w:ascii="仿宋_GB2312" w:hAnsi="仿宋_GB2312" w:cs="仿宋_GB2312" w:eastAsia="仿宋_GB2312"/>
                <w:sz w:val="24"/>
                <w:color w:val="000000"/>
              </w:rPr>
              <w:t>5.论坛嘉宾注册报到系统及网站网页优化运营维护，协助做好网上报名、签到、审核等，做好数据库软件维护、建档、保密和备份等工作。</w:t>
            </w:r>
          </w:p>
          <w:p>
            <w:pPr>
              <w:pStyle w:val="null3"/>
              <w:ind w:firstLine="640"/>
            </w:pPr>
            <w:r>
              <w:rPr>
                <w:rFonts w:ascii="仿宋_GB2312" w:hAnsi="仿宋_GB2312" w:cs="仿宋_GB2312" w:eastAsia="仿宋_GB2312"/>
                <w:sz w:val="24"/>
              </w:rPr>
              <w:t>6.摄影摄像:安排专业技术团队、编导摄像团队，</w:t>
            </w:r>
            <w:r>
              <w:rPr>
                <w:rFonts w:ascii="仿宋_GB2312" w:hAnsi="仿宋_GB2312" w:cs="仿宋_GB2312" w:eastAsia="仿宋_GB2312"/>
                <w:sz w:val="24"/>
              </w:rPr>
              <w:t>做好开幕式及全体大会、各</w:t>
            </w:r>
            <w:r>
              <w:rPr>
                <w:rFonts w:ascii="仿宋_GB2312" w:hAnsi="仿宋_GB2312" w:cs="仿宋_GB2312" w:eastAsia="仿宋_GB2312"/>
                <w:sz w:val="24"/>
              </w:rPr>
              <w:t>分会</w:t>
            </w:r>
            <w:r>
              <w:rPr>
                <w:rFonts w:ascii="仿宋_GB2312" w:hAnsi="仿宋_GB2312" w:cs="仿宋_GB2312" w:eastAsia="仿宋_GB2312"/>
                <w:sz w:val="24"/>
              </w:rPr>
              <w:t>活动及论坛组委会工作会、新闻发布会、媒体联盟成立大会等</w:t>
            </w:r>
            <w:r>
              <w:rPr>
                <w:rFonts w:ascii="仿宋_GB2312" w:hAnsi="仿宋_GB2312" w:cs="仿宋_GB2312" w:eastAsia="仿宋_GB2312"/>
                <w:sz w:val="24"/>
              </w:rPr>
              <w:t>活动</w:t>
            </w:r>
            <w:r>
              <w:rPr>
                <w:rFonts w:ascii="仿宋_GB2312" w:hAnsi="仿宋_GB2312" w:cs="仿宋_GB2312" w:eastAsia="仿宋_GB2312"/>
                <w:sz w:val="24"/>
              </w:rPr>
              <w:t>进行</w:t>
            </w:r>
            <w:r>
              <w:rPr>
                <w:rFonts w:ascii="仿宋_GB2312" w:hAnsi="仿宋_GB2312" w:cs="仿宋_GB2312" w:eastAsia="仿宋_GB2312"/>
                <w:sz w:val="24"/>
              </w:rPr>
              <w:t>摄影、摄像</w:t>
            </w:r>
            <w:r>
              <w:rPr>
                <w:rFonts w:ascii="仿宋_GB2312" w:hAnsi="仿宋_GB2312" w:cs="仿宋_GB2312" w:eastAsia="仿宋_GB2312"/>
                <w:sz w:val="24"/>
              </w:rPr>
              <w:t>及全程录制留存等工作。活动全程摄像机位不少于</w:t>
            </w:r>
            <w:r>
              <w:rPr>
                <w:rFonts w:ascii="仿宋_GB2312" w:hAnsi="仿宋_GB2312" w:cs="仿宋_GB2312" w:eastAsia="仿宋_GB2312"/>
                <w:sz w:val="24"/>
              </w:rPr>
              <w:t>12个，摄影机位不少于8个。</w:t>
            </w:r>
          </w:p>
          <w:p>
            <w:pPr>
              <w:pStyle w:val="null3"/>
              <w:ind w:firstLine="480"/>
              <w:jc w:val="both"/>
            </w:pPr>
            <w:r>
              <w:rPr>
                <w:rFonts w:ascii="仿宋_GB2312" w:hAnsi="仿宋_GB2312" w:cs="仿宋_GB2312" w:eastAsia="仿宋_GB2312"/>
                <w:sz w:val="24"/>
                <w:color w:val="000000"/>
              </w:rPr>
              <w:t>7.媒体中心:在论坛主会场搭建媒体中心，提供记者采编配套软硬件服务提供相关信息资料，设置独立专访区2个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做好媒体记者邀请联络、统筹协调、服务保障等工作。</w:t>
            </w:r>
            <w:r>
              <w:rPr>
                <w:rFonts w:ascii="仿宋_GB2312" w:hAnsi="仿宋_GB2312" w:cs="仿宋_GB2312" w:eastAsia="仿宋_GB2312"/>
                <w:sz w:val="24"/>
                <w:color w:val="000000"/>
              </w:rPr>
              <w:t>搭建</w:t>
            </w:r>
            <w:r>
              <w:rPr>
                <w:rFonts w:ascii="仿宋_GB2312" w:hAnsi="仿宋_GB2312" w:cs="仿宋_GB2312" w:eastAsia="仿宋_GB2312"/>
                <w:sz w:val="24"/>
                <w:color w:val="000000"/>
              </w:rPr>
              <w:t>媒体资产管理系统</w:t>
            </w:r>
            <w:r>
              <w:rPr>
                <w:rFonts w:ascii="仿宋_GB2312" w:hAnsi="仿宋_GB2312" w:cs="仿宋_GB2312" w:eastAsia="仿宋_GB2312"/>
                <w:sz w:val="24"/>
                <w:color w:val="000000"/>
              </w:rPr>
              <w:t>，通过互联网化与智能化技术，进行欧亚经济论坛相关媒体数字资产专项编目，整合优化欧亚经济论坛相关视频、音频、文稿等全媒体资源。</w:t>
            </w:r>
            <w:r>
              <w:rPr>
                <w:rFonts w:ascii="仿宋_GB2312" w:hAnsi="仿宋_GB2312" w:cs="仿宋_GB2312" w:eastAsia="仿宋_GB2312"/>
                <w:sz w:val="24"/>
                <w:color w:val="000000"/>
              </w:rPr>
              <w:t>做好宣传册和宣传品定制保障，数量均不少于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000份。</w:t>
            </w:r>
          </w:p>
          <w:p>
            <w:pPr>
              <w:pStyle w:val="null3"/>
              <w:ind w:firstLine="480"/>
              <w:jc w:val="both"/>
            </w:pPr>
            <w:r>
              <w:rPr>
                <w:rFonts w:ascii="仿宋_GB2312" w:hAnsi="仿宋_GB2312" w:cs="仿宋_GB2312" w:eastAsia="仿宋_GB2312"/>
                <w:sz w:val="24"/>
                <w:color w:val="000000"/>
              </w:rPr>
              <w:t>8.传播影响力报告:综合汇总整体宣传工作情况，提供整体宜发结案报告，提供宣传投放文档整理，包括但不限于文字、视频、照片、截图等、提供项目结案报告。组织专业力量编制</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欧亚经济论坛传播影响力报告并在适当渠道发布。</w:t>
            </w:r>
          </w:p>
          <w:p>
            <w:pPr>
              <w:pStyle w:val="null3"/>
              <w:ind w:firstLine="480"/>
              <w:jc w:val="both"/>
            </w:pPr>
            <w:r>
              <w:rPr>
                <w:rFonts w:ascii="仿宋_GB2312" w:hAnsi="仿宋_GB2312" w:cs="仿宋_GB2312" w:eastAsia="仿宋_GB2312"/>
                <w:sz w:val="24"/>
                <w:color w:val="000000"/>
              </w:rPr>
              <w:t>9.增值服务:基于公司自身的优势资源，为活动提供特色资源以及增值服务，进而有利于宣传工作高质量落实。</w:t>
            </w:r>
          </w:p>
          <w:p>
            <w:pPr>
              <w:pStyle w:val="null3"/>
              <w:ind w:firstLine="480"/>
              <w:jc w:val="both"/>
            </w:pPr>
            <w:r>
              <w:rPr>
                <w:rFonts w:ascii="仿宋_GB2312" w:hAnsi="仿宋_GB2312" w:cs="仿宋_GB2312" w:eastAsia="仿宋_GB2312"/>
                <w:sz w:val="24"/>
                <w:color w:val="000000"/>
              </w:rPr>
              <w:t>10.其他相关具体工作。</w:t>
            </w:r>
          </w:p>
          <w:p>
            <w:pPr>
              <w:pStyle w:val="null3"/>
              <w:ind w:firstLine="506"/>
              <w:jc w:val="left"/>
            </w:pPr>
            <w:r>
              <w:rPr>
                <w:rFonts w:ascii="仿宋_GB2312" w:hAnsi="仿宋_GB2312" w:cs="仿宋_GB2312" w:eastAsia="仿宋_GB2312"/>
                <w:sz w:val="24"/>
                <w:b/>
                <w:color w:val="000000"/>
              </w:rPr>
              <w:t>四、商务要求</w:t>
            </w:r>
          </w:p>
          <w:p>
            <w:pPr>
              <w:pStyle w:val="null3"/>
              <w:ind w:firstLine="480"/>
              <w:jc w:val="both"/>
            </w:pPr>
            <w:r>
              <w:rPr>
                <w:rFonts w:ascii="仿宋_GB2312" w:hAnsi="仿宋_GB2312" w:cs="仿宋_GB2312" w:eastAsia="仿宋_GB2312"/>
                <w:sz w:val="24"/>
                <w:color w:val="000000"/>
              </w:rPr>
              <w:t>1.服务期限</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自合同签订之日起至本届论坛结束后</w:t>
            </w:r>
            <w:r>
              <w:rPr>
                <w:rFonts w:ascii="仿宋_GB2312" w:hAnsi="仿宋_GB2312" w:cs="仿宋_GB2312" w:eastAsia="仿宋_GB2312"/>
                <w:sz w:val="24"/>
                <w:color w:val="000000"/>
              </w:rPr>
              <w:t>3个月。</w:t>
            </w:r>
          </w:p>
          <w:p>
            <w:pPr>
              <w:pStyle w:val="null3"/>
              <w:ind w:firstLine="480"/>
              <w:jc w:val="both"/>
            </w:pPr>
            <w:r>
              <w:rPr>
                <w:rFonts w:ascii="仿宋_GB2312" w:hAnsi="仿宋_GB2312" w:cs="仿宋_GB2312" w:eastAsia="仿宋_GB2312"/>
                <w:sz w:val="24"/>
                <w:color w:val="000000"/>
              </w:rPr>
              <w:t>2.款项结算</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第一阶段</w:t>
            </w:r>
            <w:r>
              <w:rPr>
                <w:rFonts w:ascii="仿宋_GB2312" w:hAnsi="仿宋_GB2312" w:cs="仿宋_GB2312" w:eastAsia="仿宋_GB2312"/>
                <w:sz w:val="24"/>
                <w:color w:val="000000"/>
              </w:rPr>
              <w:t>:合同签订一个月内，支付</w:t>
            </w:r>
            <w:r>
              <w:rPr>
                <w:rFonts w:ascii="仿宋_GB2312" w:hAnsi="仿宋_GB2312" w:cs="仿宋_GB2312" w:eastAsia="仿宋_GB2312"/>
                <w:sz w:val="24"/>
                <w:color w:val="000000"/>
              </w:rPr>
              <w:t>5</w:t>
            </w:r>
            <w:r>
              <w:rPr>
                <w:rFonts w:ascii="仿宋_GB2312" w:hAnsi="仿宋_GB2312" w:cs="仿宋_GB2312" w:eastAsia="仿宋_GB2312"/>
                <w:sz w:val="24"/>
                <w:color w:val="000000"/>
              </w:rPr>
              <w:t>0%项目款</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第二阶段</w:t>
            </w:r>
            <w:r>
              <w:rPr>
                <w:rFonts w:ascii="仿宋_GB2312" w:hAnsi="仿宋_GB2312" w:cs="仿宋_GB2312" w:eastAsia="仿宋_GB2312"/>
                <w:sz w:val="24"/>
                <w:color w:val="000000"/>
              </w:rPr>
              <w:t>:项目完成且验收合格后,一个月内支付</w:t>
            </w:r>
            <w:r>
              <w:rPr>
                <w:rFonts w:ascii="仿宋_GB2312" w:hAnsi="仿宋_GB2312" w:cs="仿宋_GB2312" w:eastAsia="仿宋_GB2312"/>
                <w:sz w:val="24"/>
                <w:color w:val="000000"/>
              </w:rPr>
              <w:t>5</w:t>
            </w:r>
            <w:r>
              <w:rPr>
                <w:rFonts w:ascii="仿宋_GB2312" w:hAnsi="仿宋_GB2312" w:cs="仿宋_GB2312" w:eastAsia="仿宋_GB2312"/>
                <w:sz w:val="24"/>
                <w:color w:val="000000"/>
              </w:rPr>
              <w:t>0%项目款。</w:t>
            </w:r>
          </w:p>
          <w:p>
            <w:pPr>
              <w:pStyle w:val="null3"/>
              <w:ind w:firstLine="506"/>
              <w:jc w:val="left"/>
            </w:pPr>
            <w:r>
              <w:rPr>
                <w:rFonts w:ascii="仿宋_GB2312" w:hAnsi="仿宋_GB2312" w:cs="仿宋_GB2312" w:eastAsia="仿宋_GB2312"/>
                <w:sz w:val="24"/>
                <w:b/>
                <w:color w:val="000000"/>
              </w:rPr>
              <w:t>五、其他</w:t>
            </w:r>
          </w:p>
          <w:p>
            <w:pPr>
              <w:pStyle w:val="null3"/>
              <w:ind w:firstLine="480"/>
              <w:jc w:val="both"/>
            </w:pPr>
            <w:r>
              <w:rPr>
                <w:rFonts w:ascii="仿宋_GB2312" w:hAnsi="仿宋_GB2312" w:cs="仿宋_GB2312" w:eastAsia="仿宋_GB2312"/>
                <w:sz w:val="24"/>
                <w:color w:val="000000"/>
              </w:rPr>
              <w:t>1.对服务商的要求</w:t>
            </w:r>
          </w:p>
          <w:p>
            <w:pPr>
              <w:pStyle w:val="null3"/>
              <w:ind w:firstLine="480"/>
              <w:jc w:val="both"/>
            </w:pPr>
            <w:r>
              <w:rPr>
                <w:rFonts w:ascii="仿宋_GB2312" w:hAnsi="仿宋_GB2312" w:cs="仿宋_GB2312" w:eastAsia="仿宋_GB2312"/>
                <w:sz w:val="24"/>
                <w:color w:val="000000"/>
              </w:rPr>
              <w:t>供应商应具有承接市级及以上规模重点大型活动宣传工作及同类项目经验，统筹执行能力强，业界享有知名声誉；供应商应为具有互联网新闻采编发布服务资质的新闻媒体机构，或具有互联网新闻采编发布服务资质的新闻媒体机构的授权企业。</w:t>
            </w:r>
          </w:p>
          <w:p>
            <w:pPr>
              <w:pStyle w:val="null3"/>
              <w:ind w:firstLine="480"/>
              <w:jc w:val="both"/>
            </w:pPr>
            <w:r>
              <w:rPr>
                <w:rFonts w:ascii="仿宋_GB2312" w:hAnsi="仿宋_GB2312" w:cs="仿宋_GB2312" w:eastAsia="仿宋_GB2312"/>
                <w:sz w:val="24"/>
                <w:color w:val="000000"/>
              </w:rPr>
              <w:t>2.成果交付要求</w:t>
            </w:r>
          </w:p>
          <w:p>
            <w:pPr>
              <w:pStyle w:val="null3"/>
              <w:jc w:val="left"/>
            </w:pPr>
            <w:r>
              <w:rPr>
                <w:rFonts w:ascii="仿宋_GB2312" w:hAnsi="仿宋_GB2312" w:cs="仿宋_GB2312" w:eastAsia="仿宋_GB2312"/>
                <w:sz w:val="24"/>
                <w:color w:val="000000"/>
              </w:rPr>
              <w:t>提供宣传投放归档整理，包括但不限于：文字、视频、照片、截图等，提供项目结案报告，说明各类投放渠道的曝光量数据，回顾总结此次论坛宣传工作成果，制作汇编成册。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自合同签订之日起至本届论坛结束后3个月。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合同签订一个月内，支付 50%项目款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项目完成且验收合格后,一个月内支付剩余 50%项目款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1.因甲方原因造成乙方停工、返工及合同停止的，合同约定履行期限相应顺延。 2.经甲方审查发现，乙方未按国家或省、市有关技术标准、规程、规定完成任务，甲方有权要求乙方返工或解除合同，甲方解除合同的，乙方应向甲方 支付合同总金额 5 %的违约金。 3.若乙方办理或完成的委托事务不符合甲方要求或者本合同约定的，或其服务、成果未通过甲方验收的，或乙方擅自转包或分包的，甲方有权要求乙方按照合同总金额 5 %支付违约金，同时乙方应及时整改，乙方拒绝按照甲方要求整改、不采取补救措施或经整改或补救后仍不符合要求的，甲方有权解除本合同，乙方应向退还已收取的全部费用，违约金不足以弥补损失的，乙方需补足。 4.如因乙方及乙方工作人员在履行职务过程中的的疏忽、失职、过错等故意或者过失原因给甲方或第三方造成损失或侵害的，由乙方负责及时妥善处理纠纷并承担相应的法律及全部赔偿责任，甲方因此被追责的，有权向乙方全额追偿。 5.乙方无正当理由提前终止本合同的或因乙方违约导致甲方解除本合同的，甲方有权拒绝支付任何费用，同时，甲方还有权要乙方支付合同总金额 5 %的违约金，违约金不足以弥补甲方损失的，乙方应予补足。 6.乙方存在违反合同约定情形的，除应按照本合同约定支付违约金外，还应赔偿由此给甲方造成的损失，包括但不限于直接损失、可得利益损失、甲方支付给第三方的赔偿费用/违约金/罚款、调查取证费用、诉讼/仲裁费用、律师代理费、保全费、保全保险费、鉴定费、公证费、公告费、差旅费以及因此而支付的其他合理费用。 7.本合同无论因何种原因解除或终止，乙方应立即停止使用甲方提供的全部资料、文件等。否则，甲方有权要求乙方立即停止侵权行为，并按人民币 万元的标准向甲方支付违约金，违约金不足以弥补损失的，乙方应赔偿。 8.乙方因本合同需承担的违约金、损失赔偿等其他各项费用，甲方有权直接从尚未支付的款项中预先扣除。不足以抵扣的，乙方需补足。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1、供应商务必在开标截止时间30分钟前，通过项目电子化交易系统进行签到，如未进行签到，产生的一起 后果由供应商自行承担。 2、需要落实的政府采购政策: 1)《国务院办公厅关于建立政府强制采购节能产品制度的通知》(国办发(2007)51号): 2)《财政部 司法部关于政府采购支持监狱企业发展有关问题的通知》(财库(2014)68号): 3)《三部门联合发布关于促进 残疾人就业政府采购政策的通知》(财库(2017)141号): 4)《财政部 发展改革委 生态环境部 市场监管总局关于调整优 化节能产品、环境标志产品政府采购执行机制的通知》(财库(2019)9号):5)《关于运用政府采购政策支持乡村产业振 兴的通知》(财库(2021)19号):6)《政府采购促进中小企业发展管理办法》(财库(2020)46号):7)陕西省财政 厅关于印发《陕西省中小企业政府采购信用融资办 法》(陕财办采(2018)23号):8)《关于进一步加大政府采购支持中 小企业力度的通知》(财库(2022)19号): 9)《关于扩大政府采购支持绿色建材促进建筑品质提升政策实施范围的通 知》(财库(2022)35号)。3、根据《西安市财政局关于促进政府采购公平竞争优化营商环境的通知》(市财函(2021)431号)供应商免费领取竞争性磋商文件后，供应商如不参与项目投标，需在递交响应文件截止时间前一日以书面形式告知项目联系人。否则，采购代理机构将向财政部门反映。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资料，自然人参与的提供其身份证明；（2）提供2023年或2024年经审计的财务审计报告(成立时间至提交投标响应文件截止时间不足年的可提供成立后任意时段的资产负债表) 或其基本存款账户开户银行出具的资信证明；（3）提供2024年至今已缴纳的任意1个月的纳税证明或完税证明（纳税证明或完税证明上应有代收机构或税务机关的公章或业务章），依法免税的单位应提供相关证明材料；（4）提供2024年至今已缴存的任意1个月的社会保障资金缴存单据或社保机构开具的社会保险参保缴费情况证明，依法不需要缴纳社会保障资金的应提供相关证明材料；（5）具有履行合同所必需的设备和专业技术能力的承诺函；（6）参加本次政府采购活动前三年内在经营活动中没有重大违纪，以及未被列入失信被执行人、重大税收违法案件当事人名单、政府采购严重违法失信行为记录名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开标一览表 投标方案.docx 法定代表人身份证明.docx 中小企业声明函 服务承诺.docx 资格证明文件.docx 供应商概况.docx 技术偏离表.docx 投标函 陕西省政府采购投标人拒绝政府采购领域商业贿赂承诺书.docx 残疾人福利性单位声明函 标的清单 其他资料.docx 投标文件封面 业绩相关证明材料.docx 法定代表人授权委托书.docx 商务偏离表.docx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提供2023年或2024年经审计的财务审计报告(成立时间至提交投标响应文件截止时间不足年的可提供成立后任意时段的资产负债表)或其基本存款账户开户银行出具的资信证明；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 供应商概况.docx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其他资料.docx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具有独立承担民事责任能力的法人、其他组织或自然人，并出具合法有效的营业执照或事业单位法人证书等国家规定的相关证明资料，自然人参与的提供其身份证明；</w:t>
            </w:r>
          </w:p>
        </w:tc>
        <w:tc>
          <w:tcPr>
            <w:tcW w:type="dxa" w:w="1661"/>
          </w:tcPr>
          <w:p>
            <w:pPr>
              <w:pStyle w:val="null3"/>
            </w:pPr>
            <w:r>
              <w:rPr>
                <w:rFonts w:ascii="仿宋_GB2312" w:hAnsi="仿宋_GB2312" w:cs="仿宋_GB2312" w:eastAsia="仿宋_GB2312"/>
              </w:rPr>
              <w:t>资格证明文件.docx 供应商概况.docx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法人证明或授权</w:t>
            </w:r>
          </w:p>
        </w:tc>
        <w:tc>
          <w:tcPr>
            <w:tcW w:type="dxa" w:w="3322"/>
          </w:tcPr>
          <w:p>
            <w:pPr>
              <w:pStyle w:val="null3"/>
            </w:pPr>
            <w:r>
              <w:rPr>
                <w:rFonts w:ascii="仿宋_GB2312" w:hAnsi="仿宋_GB2312" w:cs="仿宋_GB2312" w:eastAsia="仿宋_GB2312"/>
              </w:rPr>
              <w:t>法定代表人授权书和被授权人的身份证，法定代表人参加投标时，须提供本人身份证明；</w:t>
            </w:r>
          </w:p>
        </w:tc>
        <w:tc>
          <w:tcPr>
            <w:tcW w:type="dxa" w:w="1661"/>
          </w:tcPr>
          <w:p>
            <w:pPr>
              <w:pStyle w:val="null3"/>
            </w:pPr>
            <w:r>
              <w:rPr>
                <w:rFonts w:ascii="仿宋_GB2312" w:hAnsi="仿宋_GB2312" w:cs="仿宋_GB2312" w:eastAsia="仿宋_GB2312"/>
              </w:rPr>
              <w:t>法定代表人身份证明.docx 投标函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提供2023年或2024年经审计的财务审计报告(成立时间至提交投标响应文件截止时间不足年的可提供成立后任意时段的资产负债表)或其基本存款账户开户银行出具的资信证明；</w:t>
            </w:r>
          </w:p>
        </w:tc>
        <w:tc>
          <w:tcPr>
            <w:tcW w:type="dxa" w:w="1661"/>
          </w:tcPr>
          <w:p>
            <w:pPr>
              <w:pStyle w:val="null3"/>
            </w:pPr>
            <w:r>
              <w:rPr>
                <w:rFonts w:ascii="仿宋_GB2312" w:hAnsi="仿宋_GB2312" w:cs="仿宋_GB2312" w:eastAsia="仿宋_GB2312"/>
              </w:rPr>
              <w:t>资格证明文件.docx 供应商概况.docx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提供2024年至今已缴纳的任意1个月的纳税证明或完税证明（纳税证明或完税证明上应有代收机构或税务机关的公章或业务章），依法免税的单位应提供相关证明材料；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提供2024年至今已缴存的任意1个月的社会保障资金缴存单据或社保机构开具的社会保险参保缴费情况证明，依法不需要缴纳社会保障资金的应提供相关证明材料；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资格证明文件.docx 供应商概况.docx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其他资料.docx 资格证明文件.docx 供应商概况.docx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其他资料.docx 资格证明文件.docx 供应商概况.docx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其他资料.docx 资格证明文件.docx 供应商概况.docx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投标方案.docx 法定代表人身份证明.docx 投标函 中小企业声明函 残疾人福利性单位声明函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至少以下三处的项目名称、项目编号、标段（未分标段的除外）与本项目完全一致：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法定代表人身份证明.docx 投标函 投标文件封面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 （一）投标函 （二）开标一览表 （三）商务偏离表 （四）技术偏离表 （五）投标方案 （六）资格证明文件 （七）供应商概况 （八）业绩相关证明材料 （九）其他相关资料 （十）陕西省政府采购投标人拒绝政府采购领域商业贿赂承诺书 （十一）服务承诺</w:t>
            </w:r>
          </w:p>
        </w:tc>
        <w:tc>
          <w:tcPr>
            <w:tcW w:type="dxa" w:w="1661"/>
          </w:tcPr>
          <w:p>
            <w:pPr>
              <w:pStyle w:val="null3"/>
            </w:pPr>
            <w:r>
              <w:rPr>
                <w:rFonts w:ascii="仿宋_GB2312" w:hAnsi="仿宋_GB2312" w:cs="仿宋_GB2312" w:eastAsia="仿宋_GB2312"/>
              </w:rPr>
              <w:t>开标一览表 投标方案.docx 法定代表人身份证明.docx 投标函 中小企业声明函 残疾人福利性单位声明函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完全响应招标文件要求的各项技术（服务）、商务实质性条款。（见第三章标注★的条款，未设置时请忽略此项）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电子投标文件雷同性分析</w:t>
            </w:r>
          </w:p>
        </w:tc>
        <w:tc>
          <w:tcPr>
            <w:tcW w:type="dxa" w:w="3322"/>
          </w:tcPr>
          <w:p>
            <w:pPr>
              <w:pStyle w:val="null3"/>
            </w:pPr>
            <w:r>
              <w:rPr>
                <w:rFonts w:ascii="仿宋_GB2312" w:hAnsi="仿宋_GB2312" w:cs="仿宋_GB2312" w:eastAsia="仿宋_GB2312"/>
              </w:rPr>
              <w:t>电子投标文件的“文件制作机器码”和“文件创建标识码”通过评标系统的雷同性分析。</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根据供应商对项目的背景、目的、内容与时间要求等的理解程度进行评分。项目的背景、目的、内容与时间要求等的理解深刻，认识全面，切合项目情况得4分；理解较深刻，有一定认识，与项目情况较切合得2分；理解有偏差，认识度低，与项目关联度低得1分。未提供方案或只有标题没有实质性内容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提供针对项目实施总体服务方案， ①氛围营造：方案详细、有针对性、可行性强，得6分；方案粗略、逻辑混乱、描述过于简单，得4分；方案与项目特点不匹配、套用其他项目方案、存在不可能实现的夸大情形或存在不适用项目实际情况的情形，得2分；未提供方案或只有标题没有实质性内容的不得分。 ②论坛录制：方案详细、有针对性、可行性强，得6分；方案粗略、逻辑混乱、描述过于简单，得4分；方案与项目特点不匹配、套用其他项目方案、存在不可能实现的夸大情形或存在不适用项目实际情况的情形，得2分；未提供方案或只有标题没有实质性内容的不得分。 ③视频制作拍摄：方案详细、有针对性、可行性强，得6分；方案粗略、逻辑混乱、描述过于简单，得4分；方案与项目特点不匹配、套用其他项目方案、存在不可能实现的夸大情形或存在不适用项目实际情况的情形，得2分；未提供方案或只有标题没有实质性内容的不得分。 ④新闻稿件主题策划：方案详细、有针对性、可行性强，得6分；方案粗略、逻辑混乱、描述过于简单，得4分；方案与项目特点不匹配、套用其他项目方案、存在不可能实现的夸大情形或存在不适用项目实际情况的情形，得2分；未提供方案或只有标题没有实质性内容的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制定合理的服务工作计划包括但不限于活动策划，活动宣传时间安排，有详细的工作进度及工作流程，根据工作进度的合理性和可操作性进行综合评审，对本次服务执行进度安排合理、详细切合实际计6分；对本次服务执行进度安排较合理、较详细较为切合实际的计4分，对本次服务执行进度安排简单、不适用于本项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项目宣传目标、重点、难点分析及解决思路</w:t>
            </w:r>
          </w:p>
        </w:tc>
        <w:tc>
          <w:tcPr>
            <w:tcW w:type="dxa" w:w="2492"/>
          </w:tcPr>
          <w:p>
            <w:pPr>
              <w:pStyle w:val="null3"/>
            </w:pPr>
            <w:r>
              <w:rPr>
                <w:rFonts w:ascii="仿宋_GB2312" w:hAnsi="仿宋_GB2312" w:cs="仿宋_GB2312" w:eastAsia="仿宋_GB2312"/>
              </w:rPr>
              <w:t>对本项目的宣传目标、重点、难点展开分析，并给出具体 的解决思路方案详细、有针对性、可行性强，得6分；方案粗略、逻辑混乱、描述过于简单，得4分；方案与项目特点不匹配、套用其他项目方案、存在不可能实现的夸大情形或存在不适用项目实际情况的情形，得2分；未提供方案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宣传流程、宣传渠道及媒 介资源</w:t>
            </w:r>
          </w:p>
        </w:tc>
        <w:tc>
          <w:tcPr>
            <w:tcW w:type="dxa" w:w="2492"/>
          </w:tcPr>
          <w:p>
            <w:pPr>
              <w:pStyle w:val="null3"/>
            </w:pPr>
            <w:r>
              <w:rPr>
                <w:rFonts w:ascii="仿宋_GB2312" w:hAnsi="仿宋_GB2312" w:cs="仿宋_GB2312" w:eastAsia="仿宋_GB2312"/>
              </w:rPr>
              <w:t>供应商对本项目的宣传流程、宣传渠道及媒介资源进行说明。方案详细、有针对性、可行性强，得8分；方案粗略、逻辑混乱、描述过于简单，得6分；方案与项目特点不匹配、套用其他项目方案、存在不可能实现的夸大情形或存在不适用项目实际情况的情形，得3分；未提供方案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人员配备及管理制度</w:t>
            </w:r>
          </w:p>
        </w:tc>
        <w:tc>
          <w:tcPr>
            <w:tcW w:type="dxa" w:w="2492"/>
          </w:tcPr>
          <w:p>
            <w:pPr>
              <w:pStyle w:val="null3"/>
            </w:pPr>
            <w:r>
              <w:rPr>
                <w:rFonts w:ascii="仿宋_GB2312" w:hAnsi="仿宋_GB2312" w:cs="仿宋_GB2312" w:eastAsia="仿宋_GB2312"/>
              </w:rPr>
              <w:t>①拟派团队人员：配备不少于5名专职人员；满足基本条件得3分，在此基础上，每增加1名专职工作人员得1分，每增加1名工作人员得0.5分，满分4分。（人员不可重复得分，即1人只可计算1次分值） ②对本项目需求提供包括但不限于人员组织架构、职业技术配置、技术人员素质标准。供应商配备的人员专业类别配比合理、组织架构清晰、拥有丰富的活动执行经验、完全满足项目需求计5分，配备的人员专业类别配比较合理、组织架构基本完善、活动执行经验略有欠缺、基本满足本项目评审需求计3分；配备的人员专业类别配比混乱、组织架构完善度低、活动执行经验不足、勉强满足本项目评审需求计1分；未提供不得分。 ③具有完善的人员管理制度及服务质量监督制度：方案详细、有针对性、可行性强，得5分；方案粗略、逻辑混乱、描述过于简单，得3分；方案与项目特点不匹配、套用其他项目方案、存在不可能实现的夸大情形或存在不适用项目实际情况的情形，得1分；未提供方案或只有标题没有实质性内容的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具有独立拍摄制作宣传片、录制视频的能力，拟投入拍摄设备配备齐全、技术先进、性能良好，安全可靠，得8分，拟投入拍摄设备配备简单、性能、安全等方面基本满足本项目要求，得6分，拟投入拍摄设备配备、性能、安全等方面不能满足本项目要求，得3分。未提供方案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突发情况的应对措施和补救措施，确保本项目高质量完成，方案详细、有针对性、可行性强，得5分；方案粗略、逻辑混乱、描述过于简单，得3分；方案与项目特点不匹配、套用其他项目方案、存在不可能实现的夸大情形或存在不适用项目实际情况的情形，得1分；未提供方案或只有标题没有实质性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针对项目实际需求提供保证服务质量的承诺： ①日常运营日常宣传服务承诺：方案详细、有针对性、可行性强，得2分；方案粗略、逻辑混乱、描述过于简单，得1.5分；方案与项目特点不匹配、套用其他项目方案、存在不可能实现的夸大情形或存在不适用项目实际情况的情形，得0.5分；未提供方案或只有标题没有实质性内容的不得分。 ②活动执行服务承诺：方案详细、有针对性、可行性强，得2分；方案粗略、逻辑混乱、描述过于简单，得1.5分；方案与项目特点不匹配、套用其他项目方案、存在不可能实现的夸大情形或存在不适用项目实际情况的情形，得0.5分；未提供方案或只有标题没有实质性内容的不得分。 ③人员保障、设备保障服务承诺：方案详细、有针对性、可行性强，得2分；方案粗略、逻辑混乱、描述过于简单，得1.5分；方案与项目特点不匹配、套用其他项目方案、存在不可能实现的夸大情形或存在不适用项目实际情况的情形，得0.5分；未提供方案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提供自2022年01月01日至今类似项目业绩，每提供1个，得2分，满分6分。 注：需提供合同扫描件（至少包括合同首页、主要内容页、签字页）、中标（成交通知书）时间以合同签订时间为准。未提供或合同内容 不能显示工作内容的，其业绩不予认定。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业绩相关证明材料.docx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法律依据为《政府采购促进中小企业发展政策问答》：专门面向中小企业采购的项目或者采购包，不再执行价格评审优惠的扶持政策。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