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版本号：ZRD-2025XAZC53520250603001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2025年森林保护项目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ZRD-2025XAZC535</w:t>
      </w:r>
      <w:r>
        <w:br/>
      </w:r>
      <w:r>
        <w:br/>
      </w:r>
      <w:r>
        <w:br/>
      </w:r>
    </w:p>
    <w:p>
      <w:pPr>
        <w:pStyle w:val="null3"/>
        <w:jc w:val="center"/>
        <w:outlineLvl w:val="2"/>
      </w:pPr>
      <w:r>
        <w:rPr>
          <w:rFonts w:ascii="仿宋_GB2312" w:hAnsi="仿宋_GB2312" w:cs="仿宋_GB2312" w:eastAsia="仿宋_GB2312"/>
          <w:sz w:val="28"/>
          <w:b/>
        </w:rPr>
        <w:t>西安市小王涧国有生态林场</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西安市小王涧国有生态林场</w:t>
      </w:r>
      <w:r>
        <w:rPr>
          <w:rFonts w:ascii="仿宋_GB2312" w:hAnsi="仿宋_GB2312" w:cs="仿宋_GB2312" w:eastAsia="仿宋_GB2312"/>
        </w:rPr>
        <w:t>委托，拟对</w:t>
      </w:r>
      <w:r>
        <w:rPr>
          <w:rFonts w:ascii="仿宋_GB2312" w:hAnsi="仿宋_GB2312" w:cs="仿宋_GB2312" w:eastAsia="仿宋_GB2312"/>
        </w:rPr>
        <w:t>2025年森林保护项目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ZRD-2025XAZC535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2025年森林保护项目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落实小王涧国有生态林场17.73万亩国有林管护任务，进一步维修完善林场管护设施，提高森林资源管护工作效率。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采购包1（河东管护站修缮）：属于专门面向中小企业采购。</w:t>
      </w:r>
    </w:p>
    <w:p>
      <w:pPr>
        <w:pStyle w:val="null3"/>
      </w:pPr>
      <w:r>
        <w:rPr>
          <w:rFonts w:ascii="仿宋_GB2312" w:hAnsi="仿宋_GB2312" w:cs="仿宋_GB2312" w:eastAsia="仿宋_GB2312"/>
        </w:rPr>
        <w:t>采购包2（黄草坡管护站修缮）：属于专门面向中小企业采购。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1、法定代表人授权书及被授权人身份证复印件：法定代表人授权书及被授权人身份证复印件（法定代表人直接参加投标，须提供法定代表人身份证明及身份证复印件）；</w:t>
      </w:r>
    </w:p>
    <w:p>
      <w:pPr>
        <w:pStyle w:val="null3"/>
      </w:pPr>
      <w:r>
        <w:rPr>
          <w:rFonts w:ascii="仿宋_GB2312" w:hAnsi="仿宋_GB2312" w:cs="仿宋_GB2312" w:eastAsia="仿宋_GB2312"/>
        </w:rPr>
        <w:t>2、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3、非联合体投标：本项目不接受联合体磋商；</w:t>
      </w:r>
    </w:p>
    <w:p>
      <w:pPr>
        <w:pStyle w:val="null3"/>
      </w:pPr>
      <w:r>
        <w:rPr>
          <w:rFonts w:ascii="仿宋_GB2312" w:hAnsi="仿宋_GB2312" w:cs="仿宋_GB2312" w:eastAsia="仿宋_GB2312"/>
        </w:rPr>
        <w:t>4、企业资质1：须具备建筑工程施工总承包三级及以上资质；</w:t>
      </w:r>
    </w:p>
    <w:p>
      <w:pPr>
        <w:pStyle w:val="null3"/>
      </w:pPr>
      <w:r>
        <w:rPr>
          <w:rFonts w:ascii="仿宋_GB2312" w:hAnsi="仿宋_GB2312" w:cs="仿宋_GB2312" w:eastAsia="仿宋_GB2312"/>
        </w:rPr>
        <w:t>5、企业资质2：须具有建设行政主管部门核发有效的安全生产许可证；</w:t>
      </w:r>
    </w:p>
    <w:p>
      <w:pPr>
        <w:pStyle w:val="null3"/>
      </w:pPr>
      <w:r>
        <w:rPr>
          <w:rFonts w:ascii="仿宋_GB2312" w:hAnsi="仿宋_GB2312" w:cs="仿宋_GB2312" w:eastAsia="仿宋_GB2312"/>
        </w:rPr>
        <w:t>6、[拟派项目负责人资质和专业要求]：拟派项目经理须具备建筑工程注册建造师二级及以上资格和有效的安全生产考核证书，须提供项目经理无在建工程的相关证明材料或承诺书；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1、法定代表人授权书及被授权人身份证复印件：法定代表人授权书及被授权人身份证复印件（法定代表人直接参加投标，须提供法定代表人身份证明及身份证复印件）；</w:t>
      </w:r>
    </w:p>
    <w:p>
      <w:pPr>
        <w:pStyle w:val="null3"/>
      </w:pPr>
      <w:r>
        <w:rPr>
          <w:rFonts w:ascii="仿宋_GB2312" w:hAnsi="仿宋_GB2312" w:cs="仿宋_GB2312" w:eastAsia="仿宋_GB2312"/>
        </w:rPr>
        <w:t>2、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3、非联合体投标：本项目不接受联合体磋商；</w:t>
      </w:r>
    </w:p>
    <w:p>
      <w:pPr>
        <w:pStyle w:val="null3"/>
      </w:pPr>
      <w:r>
        <w:rPr>
          <w:rFonts w:ascii="仿宋_GB2312" w:hAnsi="仿宋_GB2312" w:cs="仿宋_GB2312" w:eastAsia="仿宋_GB2312"/>
        </w:rPr>
        <w:t>4、企业资质1：须具备建筑工程施工总承包三级及以上资质；</w:t>
      </w:r>
    </w:p>
    <w:p>
      <w:pPr>
        <w:pStyle w:val="null3"/>
      </w:pPr>
      <w:r>
        <w:rPr>
          <w:rFonts w:ascii="仿宋_GB2312" w:hAnsi="仿宋_GB2312" w:cs="仿宋_GB2312" w:eastAsia="仿宋_GB2312"/>
        </w:rPr>
        <w:t>5、企业资质2：须具有建设行政主管部门核发有效的安全生产许可证；</w:t>
      </w:r>
    </w:p>
    <w:p>
      <w:pPr>
        <w:pStyle w:val="null3"/>
      </w:pPr>
      <w:r>
        <w:rPr>
          <w:rFonts w:ascii="仿宋_GB2312" w:hAnsi="仿宋_GB2312" w:cs="仿宋_GB2312" w:eastAsia="仿宋_GB2312"/>
        </w:rPr>
        <w:t>6、[拟派项目负责人资质和专业要求]：拟派项目经理须具备建筑工程注册建造师二级及以上资格和有效的安全生产考核证书，须提供项目经理无在建工程的相关证明材料或承诺书；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西安市小王涧国有生态林场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周至县马召镇107省道黑河桥东路北（西安市小王涧国有生态林场）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029-87113793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西安市经济技术开发区凤城五路与明光路十字西北角凤城五路105号恒石国际B座902室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兰工、郭工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18329928722、029-86263596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采购包1：731,170.00元</w:t>
            </w:r>
          </w:p>
          <w:p>
            <w:pPr>
              <w:pStyle w:val="null3"/>
            </w:pPr>
            <w:r>
              <w:rPr>
                <w:rFonts w:ascii="仿宋_GB2312" w:hAnsi="仿宋_GB2312" w:cs="仿宋_GB2312" w:eastAsia="仿宋_GB2312"/>
              </w:rPr>
              <w:t>采购包2：332,630.00元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 行办法》 (计价格[2002]1980号) 和(发改办价格[2003]857号) 中服务类收费收取，在领取成交通知书时向招标代理机构一次性缴纳。 代理服务费缴纳账号： 单 位 名 称：中瑞达项目管理有限公司 开户行名称：中国建设银行股份有限公司西安海璟国际支行 账 号：61050174860000000509 备 注：(项目编号）代理服务费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西安市小王涧国有生态林场</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西安市小王涧国有生态林场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西安市小王涧国有生态林场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联系人：兰工</w:t>
      </w:r>
    </w:p>
    <w:p>
      <w:pPr>
        <w:pStyle w:val="null3"/>
      </w:pPr>
      <w:r>
        <w:rPr>
          <w:rFonts w:ascii="仿宋_GB2312" w:hAnsi="仿宋_GB2312" w:cs="仿宋_GB2312" w:eastAsia="仿宋_GB2312"/>
        </w:rPr>
        <w:t>联系电话：029-86263596</w:t>
      </w:r>
    </w:p>
    <w:p>
      <w:pPr>
        <w:pStyle w:val="null3"/>
      </w:pPr>
      <w:r>
        <w:rPr>
          <w:rFonts w:ascii="仿宋_GB2312" w:hAnsi="仿宋_GB2312" w:cs="仿宋_GB2312" w:eastAsia="仿宋_GB2312"/>
        </w:rPr>
        <w:t>地址：西安市经济技术开发区凤城五路与明光路十字西北角凤城五路105号恒石国际B座902室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731,170.00</w:t>
      </w:r>
    </w:p>
    <w:p>
      <w:pPr>
        <w:pStyle w:val="null3"/>
      </w:pPr>
      <w:r>
        <w:rPr>
          <w:rFonts w:ascii="仿宋_GB2312" w:hAnsi="仿宋_GB2312" w:cs="仿宋_GB2312" w:eastAsia="仿宋_GB2312"/>
        </w:rPr>
        <w:t>采购包最高限价（元）: 731,170.00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河东管护站修缮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731,170.00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332,630.00</w:t>
      </w:r>
    </w:p>
    <w:p>
      <w:pPr>
        <w:pStyle w:val="null3"/>
      </w:pPr>
      <w:r>
        <w:rPr>
          <w:rFonts w:ascii="仿宋_GB2312" w:hAnsi="仿宋_GB2312" w:cs="仿宋_GB2312" w:eastAsia="仿宋_GB2312"/>
        </w:rPr>
        <w:t>采购包最高限价（元）: 332,630.00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黄草坡管护站修缮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332,630.00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标的名称：河东管护站修缮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（一）工程内容：河东管护站河道水毁挡墙修复、加固，办公楼二楼走廊封闭改造，河东管护站业务用房改造，室外场地硬化，室外铁艺护栏安装，办公器材采购；</w:t>
            </w:r>
          </w:p>
          <w:p>
            <w:pPr>
              <w:pStyle w:val="null3"/>
            </w:pPr>
            <w:r>
              <w:rPr>
                <w:rFonts w:ascii="仿宋_GB2312" w:hAnsi="仿宋_GB2312" w:cs="仿宋_GB2312" w:eastAsia="仿宋_GB2312"/>
                <w:sz w:val="24"/>
                <w:color w:val="000000"/>
              </w:rPr>
              <w:t>（二）工程地点：西安市小王涧国有生态林场。</w:t>
            </w:r>
          </w:p>
          <w:p>
            <w:pPr>
              <w:pStyle w:val="null3"/>
            </w:pPr>
            <w:r>
              <w:rPr>
                <w:rFonts w:ascii="仿宋_GB2312" w:hAnsi="仿宋_GB2312" w:cs="仿宋_GB2312" w:eastAsia="仿宋_GB2312"/>
                <w:sz w:val="24"/>
                <w:color w:val="000000"/>
              </w:rPr>
              <w:t>（三）计划工期：自进场之日起8个月内竣工。</w:t>
            </w:r>
          </w:p>
          <w:p>
            <w:pPr>
              <w:pStyle w:val="null3"/>
            </w:pPr>
            <w:r>
              <w:rPr>
                <w:rFonts w:ascii="仿宋_GB2312" w:hAnsi="仿宋_GB2312" w:cs="仿宋_GB2312" w:eastAsia="仿宋_GB2312"/>
                <w:sz w:val="24"/>
                <w:color w:val="000000"/>
              </w:rPr>
              <w:t>（四）缺陷责任期：见《建设工程质量保证金管理暂行办法》</w:t>
            </w:r>
          </w:p>
          <w:p>
            <w:pPr>
              <w:pStyle w:val="null3"/>
            </w:pPr>
            <w:r>
              <w:rPr>
                <w:rFonts w:ascii="仿宋_GB2312" w:hAnsi="仿宋_GB2312" w:cs="仿宋_GB2312" w:eastAsia="仿宋_GB2312"/>
                <w:sz w:val="24"/>
                <w:color w:val="000000"/>
              </w:rPr>
              <w:t>（五）质量保修期：见《建设工程质量管理条例》。</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color w:val="000000"/>
              </w:rPr>
              <w:t>计价依据</w:t>
            </w:r>
          </w:p>
          <w:p>
            <w:pPr>
              <w:pStyle w:val="null3"/>
            </w:pPr>
            <w:r>
              <w:rPr>
                <w:rFonts w:ascii="仿宋_GB2312" w:hAnsi="仿宋_GB2312" w:cs="仿宋_GB2312" w:eastAsia="仿宋_GB2312"/>
                <w:sz w:val="24"/>
                <w:color w:val="000000"/>
              </w:rPr>
              <w:t>计价依据《陕西省建设工程工程量清单计价规则》（2009年）、《陕西省建筑工程、装饰工程消耗量定额》（2006年）、《陕西省建筑装饰工程2009 年价目表》、《全国修缮定额土建工程陕西省价目表》（2001年）及配套费用定额、 相关取费文件，报价以给定的工程量清单及现场情况自主编报。</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color w:val="000000"/>
              </w:rPr>
              <w:t>施工要求</w:t>
            </w:r>
          </w:p>
          <w:p>
            <w:pPr>
              <w:pStyle w:val="null3"/>
              <w:jc w:val="left"/>
            </w:pPr>
            <w:r>
              <w:rPr>
                <w:rFonts w:ascii="仿宋_GB2312" w:hAnsi="仿宋_GB2312" w:cs="仿宋_GB2312" w:eastAsia="仿宋_GB2312"/>
                <w:sz w:val="24"/>
                <w:color w:val="000000"/>
              </w:rPr>
              <w:t>在施工期间，中标供应商必须注意院内人员安全，加强安全措施，并对施工人员进行安全教育。施工人员必须持证上岗。因采购人工作的特殊性，要求中标供应商在施工中做到封闭性施工。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工期：</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8个月内竣工。</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质量标准：满足现行的国家标准或国家行政部门颁布的法律法规、规章制度以及现行的行业标准。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付款方式：合同签订后</w:t>
            </w:r>
            <w:r>
              <w:rPr>
                <w:rFonts w:ascii="仿宋_GB2312" w:hAnsi="仿宋_GB2312" w:cs="仿宋_GB2312" w:eastAsia="仿宋_GB2312"/>
                <w:sz w:val="24"/>
                <w:color w:val="000000"/>
              </w:rPr>
              <w:t>10个工作日内支付合同总价款的40%;工程验收合格后，10个工作日内支付合同总价款的40%；结算审核完成后10个工作日内支付剩余款项。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其他：本项目工程量清单电子版使用广联达云计价软件</w:t>
            </w:r>
            <w:r>
              <w:rPr>
                <w:rFonts w:ascii="仿宋_GB2312" w:hAnsi="仿宋_GB2312" w:cs="仿宋_GB2312" w:eastAsia="仿宋_GB2312"/>
                <w:sz w:val="24"/>
                <w:color w:val="000000"/>
              </w:rPr>
              <w:t>GCCP6.0（版本：6.4100.23.122）；</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标的名称：黄草坡管护站修缮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（一）工程内容：黄草坡管护站新建铁艺围墙，新建办公楼配套设施，场区供水，办公器材采购，防腐木供水设备房安装</w:t>
            </w:r>
          </w:p>
          <w:p>
            <w:pPr>
              <w:pStyle w:val="null3"/>
            </w:pPr>
            <w:r>
              <w:rPr>
                <w:rFonts w:ascii="仿宋_GB2312" w:hAnsi="仿宋_GB2312" w:cs="仿宋_GB2312" w:eastAsia="仿宋_GB2312"/>
                <w:sz w:val="24"/>
                <w:color w:val="000000"/>
              </w:rPr>
              <w:t>（二）工程地点：西安市小王涧国有生态林场。</w:t>
            </w:r>
          </w:p>
          <w:p>
            <w:pPr>
              <w:pStyle w:val="null3"/>
            </w:pPr>
            <w:r>
              <w:rPr>
                <w:rFonts w:ascii="仿宋_GB2312" w:hAnsi="仿宋_GB2312" w:cs="仿宋_GB2312" w:eastAsia="仿宋_GB2312"/>
                <w:sz w:val="24"/>
                <w:color w:val="000000"/>
              </w:rPr>
              <w:t>（三）计划工期：自进场之日起8个月内竣工。</w:t>
            </w:r>
          </w:p>
          <w:p>
            <w:pPr>
              <w:pStyle w:val="null3"/>
            </w:pPr>
            <w:r>
              <w:rPr>
                <w:rFonts w:ascii="仿宋_GB2312" w:hAnsi="仿宋_GB2312" w:cs="仿宋_GB2312" w:eastAsia="仿宋_GB2312"/>
                <w:sz w:val="24"/>
                <w:color w:val="000000"/>
              </w:rPr>
              <w:t>（四）缺陷责任期：见《建设工程质量保证金管理暂行办法》</w:t>
            </w:r>
          </w:p>
          <w:p>
            <w:pPr>
              <w:pStyle w:val="null3"/>
            </w:pPr>
            <w:r>
              <w:rPr>
                <w:rFonts w:ascii="仿宋_GB2312" w:hAnsi="仿宋_GB2312" w:cs="仿宋_GB2312" w:eastAsia="仿宋_GB2312"/>
                <w:sz w:val="24"/>
                <w:color w:val="000000"/>
              </w:rPr>
              <w:t>（五）质量保修期：见《建设工程质量管理条例》。</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color w:val="000000"/>
              </w:rPr>
              <w:t>计价依据</w:t>
            </w:r>
          </w:p>
          <w:p>
            <w:pPr>
              <w:pStyle w:val="null3"/>
            </w:pPr>
            <w:r>
              <w:rPr>
                <w:rFonts w:ascii="仿宋_GB2312" w:hAnsi="仿宋_GB2312" w:cs="仿宋_GB2312" w:eastAsia="仿宋_GB2312"/>
                <w:sz w:val="24"/>
                <w:color w:val="000000"/>
              </w:rPr>
              <w:t>计价依据《陕西省建设工程工程量清单计价规则》（2009年）、《陕西省建筑工程、装饰工程消耗量定额》（2006年）、《陕西省建筑装饰工程2009 年价目表》、《全国修缮定额土建工程陕西省价目表》（2001年）及配套费用定额、 相关取费文件，报价以给定的工程量清单及现场情况自主编报。</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color w:val="000000"/>
              </w:rPr>
              <w:t>施工要求</w:t>
            </w:r>
          </w:p>
          <w:p>
            <w:pPr>
              <w:pStyle w:val="null3"/>
              <w:jc w:val="left"/>
            </w:pPr>
            <w:r>
              <w:rPr>
                <w:rFonts w:ascii="仿宋_GB2312" w:hAnsi="仿宋_GB2312" w:cs="仿宋_GB2312" w:eastAsia="仿宋_GB2312"/>
                <w:sz w:val="24"/>
                <w:color w:val="000000"/>
              </w:rPr>
              <w:t>在施工期间，中标供应商必须注意院内人员安全，加强安全措施，并对施工人员进行安全教育。施工人员必须持证上岗。因采购人工作的特殊性，要求中标供应商在施工中做到封闭性施工。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工期：</w:t>
            </w: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8个月内竣工。</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质量标准：满足现行的国家标准或国家行政部门颁布的法律法规、规章制度以及现行的行业标准。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付款方式：合同签订后</w:t>
            </w:r>
            <w:r>
              <w:rPr>
                <w:rFonts w:ascii="仿宋_GB2312" w:hAnsi="仿宋_GB2312" w:cs="仿宋_GB2312" w:eastAsia="仿宋_GB2312"/>
                <w:sz w:val="24"/>
                <w:color w:val="000000"/>
              </w:rPr>
              <w:t>10个工作日内支付合同总价款的40%;工程验收合格后，10个工作日内支付合同总价款的40%；结算审核完成后10个工作日内支付剩余款项。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其他：本项目工程量清单电子版使用广联达云计价软件</w:t>
            </w:r>
            <w:r>
              <w:rPr>
                <w:rFonts w:ascii="仿宋_GB2312" w:hAnsi="仿宋_GB2312" w:cs="仿宋_GB2312" w:eastAsia="仿宋_GB2312"/>
                <w:sz w:val="24"/>
                <w:color w:val="000000"/>
              </w:rPr>
              <w:t>GCCP6.0（版本：6.4100.23.122）；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 法人应提供事业单位法人证、组织机构代码证等证明文件；其他组织应提供合法证明文 件；自然人提供身份证明文件）； 2、具有良好的商业信誉和健全的财务会计制度（提供2023年度或2024年度财务审计报告或磋商前6个月内银行资信证明或财政部门认可的政府采购专业担保机构出具的投标担保函）； 3、具有履行合同所必需的设备和专业技术能力的书 面声明（格式详见附件）； 4、具有依法缴纳税收和社会保障资金的良好记录 （提供磋 商前12个月内任一月份的社保和缴纳税收的证明，依法不需要缴纳社会保障资金、 免税 或无须缴纳税款的供应商，应提供相关证明文件)； 5、参加政府采购活动前 3 年内在经 营活动中没有重大违法记录的书面声明（格式详见附件）。供应商需在项目电子化交易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一、供应商应提交的相关资格证明材料.docx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具有良好的商业信誉和健全的财务会计制度（提供2023年度或2024年度财务审计报告或磋商前6个月内银行资信证明或财政部门认可的政府采购专业担保机构出具的投标担保函）；供应 商需在项目电子化交易系统中按要求上传相 应证明文件并进行电子签章。</w:t>
            </w:r>
          </w:p>
        </w:tc>
        <w:tc>
          <w:tcPr>
            <w:tcW w:type="dxa" w:w="1661"/>
          </w:tcPr>
          <w:p>
            <w:pPr>
              <w:pStyle w:val="null3"/>
            </w:pPr>
            <w:r>
              <w:rPr>
                <w:rFonts w:ascii="仿宋_GB2312" w:hAnsi="仿宋_GB2312" w:cs="仿宋_GB2312" w:eastAsia="仿宋_GB2312"/>
              </w:rPr>
              <w:t>一、供应商应提交的相关资格证明材料.docx 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 法人应提供事业单位法人证、组织机构代码证等证明文件；其他组织应提供合法证明文 件；自然人提供身份证明文件）； 2、具有良好的商业信誉和健全的财务会计制度（提供2023年度或2024年度财务审计报告或磋商前6个月内银行资信证明或财政部门认可的政府采购专 业担保机构出具的投标担保函）； 3、具有履行合同所必需的设备和专业技术能力的书 面声明（格式详见附件）； 4、具有依法缴纳税收和社会保障资金的良好记录 （提供磋 商前12个月内任一月份的社保和缴纳税收的证明，依法不需要缴纳社会保障资金、 免税 或无须缴纳税款的供应商，应提供相关证明文件)； 5、参加政府采购活动前 3 年内在经 营活动中没有重大违法记录的书面声明（格式详见附件）。供应商需在项目电子化交易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一、供应商应提交的相关资格证明材料.docx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具有良好的商业信誉和健全的财务会计制度（提供2023年度或2024年度财务审计报告或磋商前6个月内银行资信证明或财政部门认可的政府采购专业担保机构出具的投标担保函）；供应 商需在项目电子化交易系统中按要求上传相 应证明文件并进行电子签章。</w:t>
            </w:r>
          </w:p>
        </w:tc>
        <w:tc>
          <w:tcPr>
            <w:tcW w:type="dxa" w:w="1661"/>
          </w:tcPr>
          <w:p>
            <w:pPr>
              <w:pStyle w:val="null3"/>
            </w:pPr>
            <w:r>
              <w:rPr>
                <w:rFonts w:ascii="仿宋_GB2312" w:hAnsi="仿宋_GB2312" w:cs="仿宋_GB2312" w:eastAsia="仿宋_GB2312"/>
              </w:rPr>
              <w:t>响应文件封面 一、供应商应提交的相关资格证明材料.docx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法定代表人授权书及被授权人身份证复印件（法定代表人直接参加投标，须提供法定代表人身份证明及身份证复印件）；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企业资质1</w:t>
            </w:r>
          </w:p>
        </w:tc>
        <w:tc>
          <w:tcPr>
            <w:tcW w:type="dxa" w:w="3322"/>
          </w:tcPr>
          <w:p>
            <w:pPr>
              <w:pStyle w:val="null3"/>
            </w:pPr>
            <w:r>
              <w:rPr>
                <w:rFonts w:ascii="仿宋_GB2312" w:hAnsi="仿宋_GB2312" w:cs="仿宋_GB2312" w:eastAsia="仿宋_GB2312"/>
              </w:rPr>
              <w:t>须具备建筑工程施工总承包三级及以上资质；</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企业资质2</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拟派项目经理须具备建筑工程注册建造师二级及以上资格和有效的安全生产考核证书，须提供项目经理无在建工程的相关证明材料或承诺书；</w:t>
            </w:r>
          </w:p>
        </w:tc>
        <w:tc>
          <w:tcPr>
            <w:tcW w:type="dxa" w:w="1661"/>
          </w:tcPr>
          <w:p>
            <w:pPr>
              <w:pStyle w:val="null3"/>
            </w:pPr>
            <w:r>
              <w:rPr>
                <w:rFonts w:ascii="仿宋_GB2312" w:hAnsi="仿宋_GB2312" w:cs="仿宋_GB2312" w:eastAsia="仿宋_GB2312"/>
              </w:rPr>
              <w:t>一、供应商应提交的相关资格证明材料.docx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法定代表人授权书及被授权人身份证复印件（法定代表人直接参加投标，须提供法定代表人身份证明及身份证复印件）；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企业资质1</w:t>
            </w:r>
          </w:p>
        </w:tc>
        <w:tc>
          <w:tcPr>
            <w:tcW w:type="dxa" w:w="3322"/>
          </w:tcPr>
          <w:p>
            <w:pPr>
              <w:pStyle w:val="null3"/>
            </w:pPr>
            <w:r>
              <w:rPr>
                <w:rFonts w:ascii="仿宋_GB2312" w:hAnsi="仿宋_GB2312" w:cs="仿宋_GB2312" w:eastAsia="仿宋_GB2312"/>
              </w:rPr>
              <w:t>须具备建筑工程施工总承包三级及以上资质；</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企业资质2</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一、供应商应提交的相关资格证明材料.docx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拟派项目经理须具备建筑工程注册建造师二级及以上资格和有效的安全生产考核证书，须提供项目经理无在建工程的相关证明材料或承诺书；</w:t>
            </w:r>
          </w:p>
        </w:tc>
        <w:tc>
          <w:tcPr>
            <w:tcW w:type="dxa" w:w="1661"/>
          </w:tcPr>
          <w:p>
            <w:pPr>
              <w:pStyle w:val="null3"/>
            </w:pPr>
            <w:r>
              <w:rPr>
                <w:rFonts w:ascii="仿宋_GB2312" w:hAnsi="仿宋_GB2312" w:cs="仿宋_GB2312" w:eastAsia="仿宋_GB2312"/>
              </w:rPr>
              <w:t>一、供应商应提交的相关资格证明材料.docx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 齐全并加盖单位章</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 等非实质性的格式、形式问题限制和影响供应 商响应)</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一、供应商应提交的相关资格证明材料.docx 响应文件封面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 由同一单位或者个人编制； （2）不同供应商委 托同一单位或者个人办理磋商事宜； （3）不同 供应商的响应文件载明的项目管理成员或者联 系人员为同一人； （4）不同供应商的响应文件 异常一致或者响应报价呈规律性差异； （5）不 同供应商的响应文件相互混装。</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 齐全并加盖单位章</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一、供应商应提交的相关资格证明材料.docx 响应文件封面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 等非实质性的格式、形式问题限制和影响供应 商响应)</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 由同一单位或者个人编制； （2）不同供应商委 托同一单位或者个人办理磋商事宜； （3）不同 供应商的响应文件载明的项目管理成员或者联 系人员为同一人； （4）不同供应商的响应文件 异常一致或者响应报价呈规律性差异； （5）不 同供应商的响应文件相互混装。</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已标价工程量清单 中小企业声明函 四、承诺书docx.docx 二、商务及技术响应偏离表docx.docx 响应文件封面 一、供应商应提交的相关资格证明材料.docx 项目管理机构组成表 残疾人福利性单位声明函 报价函 标的清单 供应商类似项目业绩一览表 三、商务、技术方案.docx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确保文明施工、环境保护的技术 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针对投标人提供的项目进度安排，从整体工序安排紧凑合理，各部分任务及其完成时间明确，总进度措施是否合理可行等方面进行综合评分： ①进度安排得当、合理得5.1-9分； ②进度安排基本得当、合理得3.1-5分； ③进度安排不合理得1-3分。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评委根据编制内容的可行性、 完整性等综合评比： ①编制详细、较完整、切实可 行的得6.1-10分； ②编制较详细、可行性一般的 得3.1-6分； ③编制粗略、可行性不足的得 1.1-3分。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评委根据编制内容的可行性、完整性等综合评比，1-4分。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采用新材料、新设备、新工艺、新技术对提供工程质量安全、缩短工期、降低 成本的措施</w:t>
            </w:r>
          </w:p>
        </w:tc>
        <w:tc>
          <w:tcPr>
            <w:tcW w:type="dxa" w:w="2492"/>
          </w:tcPr>
          <w:p>
            <w:pPr>
              <w:pStyle w:val="null3"/>
            </w:pPr>
            <w:r>
              <w:rPr>
                <w:rFonts w:ascii="仿宋_GB2312" w:hAnsi="仿宋_GB2312" w:cs="仿宋_GB2312" w:eastAsia="仿宋_GB2312"/>
              </w:rPr>
              <w:t>评委根据编制内容的可行性、完整性等综合评比，1-4分。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提供2021年01月01日至今 完成的类似业绩(以中标(成 交)通知书或合同或竣工验收 证明材料落款时间为准)一项 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具有五大员(质量员、安全员、施工员、材料员、资料员)上岗证书(安全员附安全生产考核合格证)的每证得1分；有相应职称证(初级及以上均 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三、商务、技术方案.docx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①经资格审查合格的磋商响 应文件，其磋商报价有效； ②满足磋商文件要求且最后 提交价格最低的磋商报价为磋商基准价； ③磋商报价得分=(磋商基准价/最后磋商报价)×30%× 100 ④磋商报价不完整的，本项得 0 分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确保文明施工、环境保护的技术 组织措施</w:t>
            </w:r>
          </w:p>
        </w:tc>
        <w:tc>
          <w:tcPr>
            <w:tcW w:type="dxa" w:w="2492"/>
          </w:tcPr>
          <w:p>
            <w:pPr>
              <w:pStyle w:val="null3"/>
            </w:pPr>
            <w:r>
              <w:rPr>
                <w:rFonts w:ascii="仿宋_GB2312" w:hAnsi="仿宋_GB2312" w:cs="仿宋_GB2312" w:eastAsia="仿宋_GB2312"/>
              </w:rPr>
              <w:t>①措施编制详细、较完整、切实可 行的得5.1-9分； ②编制较详细、可行性一般的 得3.1-5分； ③编制粗略、可行性不足的得 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针对投标人提供的项目进度安排，从整体工序安排紧凑合理，各部分任务及其完成时间明确，总进度措施是否合理可行等方面进行综合评分： ①进度安排得当、合理得5.1-9分； ②进度安排基本得当、合理得3.1-5分； ③进度安排不合理得1-3分。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评委根据编制内容的可行性、 完整性等综合评比： ①编制详细、较完整、切实可 行的得6.1-10分； ②编制较详细、可行性一般的 得3.1-6分； ③编制粗略、可行性不足的得 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评委根据编制内容的可行性、完整性等综合评比，1-4分。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采用新材料、新设备、新工艺、新技术对提供工程质量安全、缩短工期、降低 成本的措施</w:t>
            </w:r>
          </w:p>
        </w:tc>
        <w:tc>
          <w:tcPr>
            <w:tcW w:type="dxa" w:w="2492"/>
          </w:tcPr>
          <w:p>
            <w:pPr>
              <w:pStyle w:val="null3"/>
            </w:pPr>
            <w:r>
              <w:rPr>
                <w:rFonts w:ascii="仿宋_GB2312" w:hAnsi="仿宋_GB2312" w:cs="仿宋_GB2312" w:eastAsia="仿宋_GB2312"/>
              </w:rPr>
              <w:t>评委根据编制内容的可行性、完整性等综合评比，1-4分。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提供2021年01月01日至今 完成的类似业绩(以中标(成 交)通知书或合同或竣工验收 证明材料落款时间为准)一项 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三、商务、技术方案.docx</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具有五大员(质量员、安全员、施工员、材料员、资料员)上岗证书(安全员附安全生产考核合格证)的每证得1分；有相应职称证(初级及以上均 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三、商务、技术方案.docx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①经资格审查合格的磋商响 应文件，其磋商报价有效； ②满足磋商文件要求且最后 提交价格最低的磋商报价为磋商基准价； ③磋商报价得分=(磋商基准价/最后磋商报价)×30%× 100 ④磋商报价不完整的，本项得 0 分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详见附件：一、供应商应提交的相关资格证明材料.docx</w:t>
      </w:r>
    </w:p>
    <w:p>
      <w:pPr>
        <w:pStyle w:val="null3"/>
        <w:ind w:firstLine="960"/>
      </w:pPr>
      <w:r>
        <w:rPr>
          <w:rFonts w:ascii="仿宋_GB2312" w:hAnsi="仿宋_GB2312" w:cs="仿宋_GB2312" w:eastAsia="仿宋_GB2312"/>
        </w:rPr>
        <w:t>详见附件：二、商务及技术响应偏离表docx.docx</w:t>
      </w:r>
    </w:p>
    <w:p>
      <w:pPr>
        <w:pStyle w:val="null3"/>
        <w:ind w:firstLine="960"/>
      </w:pPr>
      <w:r>
        <w:rPr>
          <w:rFonts w:ascii="仿宋_GB2312" w:hAnsi="仿宋_GB2312" w:cs="仿宋_GB2312" w:eastAsia="仿宋_GB2312"/>
        </w:rPr>
        <w:t>详见附件：三、商务、技术方案.docx</w:t>
      </w:r>
    </w:p>
    <w:p>
      <w:pPr>
        <w:pStyle w:val="null3"/>
        <w:ind w:firstLine="960"/>
      </w:pPr>
      <w:r>
        <w:rPr>
          <w:rFonts w:ascii="仿宋_GB2312" w:hAnsi="仿宋_GB2312" w:cs="仿宋_GB2312" w:eastAsia="仿宋_GB2312"/>
        </w:rPr>
        <w:t>详见附件：四、承诺书docx.docx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详见附件：一、供应商应提交的相关资格证明材料.docx</w:t>
      </w:r>
    </w:p>
    <w:p>
      <w:pPr>
        <w:pStyle w:val="null3"/>
        <w:ind w:firstLine="960"/>
      </w:pPr>
      <w:r>
        <w:rPr>
          <w:rFonts w:ascii="仿宋_GB2312" w:hAnsi="仿宋_GB2312" w:cs="仿宋_GB2312" w:eastAsia="仿宋_GB2312"/>
        </w:rPr>
        <w:t>详见附件：二、商务及技术响应偏离表docx.docx</w:t>
      </w:r>
    </w:p>
    <w:p>
      <w:pPr>
        <w:pStyle w:val="null3"/>
        <w:ind w:firstLine="960"/>
      </w:pPr>
      <w:r>
        <w:rPr>
          <w:rFonts w:ascii="仿宋_GB2312" w:hAnsi="仿宋_GB2312" w:cs="仿宋_GB2312" w:eastAsia="仿宋_GB2312"/>
        </w:rPr>
        <w:t>详见附件：三、商务、技术方案.docx</w:t>
      </w:r>
    </w:p>
    <w:p>
      <w:pPr>
        <w:pStyle w:val="null3"/>
        <w:ind w:firstLine="960"/>
      </w:pPr>
      <w:r>
        <w:rPr>
          <w:rFonts w:ascii="仿宋_GB2312" w:hAnsi="仿宋_GB2312" w:cs="仿宋_GB2312" w:eastAsia="仿宋_GB2312"/>
        </w:rPr>
        <w:t>详见附件：四、承诺书docx.docx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