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版本号：ZRD-2025XAZC54020250529001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新媒体宣传服务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ZRD-2025XAZC540</w:t>
      </w:r>
      <w:r>
        <w:br/>
      </w:r>
      <w:r>
        <w:br/>
      </w:r>
      <w:r>
        <w:br/>
      </w:r>
    </w:p>
    <w:p>
      <w:pPr>
        <w:pStyle w:val="null3"/>
        <w:jc w:val="center"/>
        <w:outlineLvl w:val="2"/>
      </w:pPr>
      <w:r>
        <w:rPr>
          <w:rFonts w:ascii="仿宋_GB2312" w:hAnsi="仿宋_GB2312" w:cs="仿宋_GB2312" w:eastAsia="仿宋_GB2312"/>
          <w:sz w:val="28"/>
          <w:b/>
        </w:rPr>
        <w:t>西安市未央区人民法院[158]</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西安市未央区人民法院[158]</w:t>
      </w:r>
      <w:r>
        <w:rPr>
          <w:rFonts w:ascii="仿宋_GB2312" w:hAnsi="仿宋_GB2312" w:cs="仿宋_GB2312" w:eastAsia="仿宋_GB2312"/>
        </w:rPr>
        <w:t>委托，拟对</w:t>
      </w:r>
      <w:r>
        <w:rPr>
          <w:rFonts w:ascii="仿宋_GB2312" w:hAnsi="仿宋_GB2312" w:cs="仿宋_GB2312" w:eastAsia="仿宋_GB2312"/>
        </w:rPr>
        <w:t>新媒体宣传服务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ZRD-2025XAZC540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新媒体宣传服务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提供法院传媒新媒体法治宣传服务，具体详见磋商文件。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采购包1（新媒体宣传服务）：属于专门面向中小企业采购。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1、法定代表人授权书及被授权人身份证复印件：法定代表人 (单位负责人) 授权书及被授权人身份证复印件（法定代表人 (单位负责人) 直接参加投标，须提供法定代表人 (单位负责人) 身份证明及身份证复印件）；</w:t>
      </w:r>
    </w:p>
    <w:p>
      <w:pPr>
        <w:pStyle w:val="null3"/>
      </w:pPr>
      <w:r>
        <w:rPr>
          <w:rFonts w:ascii="仿宋_GB2312" w:hAnsi="仿宋_GB2312" w:cs="仿宋_GB2312" w:eastAsia="仿宋_GB2312"/>
        </w:rPr>
        <w:t>2、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西安市未央区人民法院[158]</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陕西省西安市未央区浐灞大道2331号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陕西省西安市经济技术开发区凤城五路与明光路十字西北角恒石国际中心B座9楼902室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昌俊、郭丹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029-86263596、15039820627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代理服务费收费标准：（1）成交供应商在领取成交通知书前，须向采购代理机构支付成交服务费，本项目定额收取人民币8000.00元。 （2）成交单位的代理服务费交纳信息 银行户名：中瑞达项目管理有限公司 开户银行：中国建设银行股份有限公司西安海璟国际支行 账 号：61050174860000000509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西安市未央区人民法院[158]</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西安市未央区人民法院[158]</w:t>
      </w:r>
      <w:r>
        <w:rPr>
          <w:rFonts w:ascii="仿宋_GB2312" w:hAnsi="仿宋_GB2312" w:cs="仿宋_GB2312" w:eastAsia="仿宋_GB2312"/>
        </w:rPr>
        <w:t>负责解释。除上述磋商文件内容，其他内容由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西安市未央区人民法院[158]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联系人：昌俊</w:t>
      </w:r>
    </w:p>
    <w:p>
      <w:pPr>
        <w:pStyle w:val="null3"/>
      </w:pPr>
      <w:r>
        <w:rPr>
          <w:rFonts w:ascii="仿宋_GB2312" w:hAnsi="仿宋_GB2312" w:cs="仿宋_GB2312" w:eastAsia="仿宋_GB2312"/>
        </w:rPr>
        <w:t>联系电话：029-86263596、15039820627</w:t>
      </w:r>
    </w:p>
    <w:p>
      <w:pPr>
        <w:pStyle w:val="null3"/>
      </w:pPr>
      <w:r>
        <w:rPr>
          <w:rFonts w:ascii="仿宋_GB2312" w:hAnsi="仿宋_GB2312" w:cs="仿宋_GB2312" w:eastAsia="仿宋_GB2312"/>
        </w:rPr>
        <w:t>地址：陕西省西安市经济技术开发区凤城五路与明光路十字西北角恒石国际中心B座9楼902室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提供法院传媒新媒体法治宣传服务，具体详见技术参数与性能指标。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新媒体宣传服务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标的名称：新媒体宣传服务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color w:val="000000"/>
              </w:rPr>
              <w:t>服务内容</w:t>
            </w:r>
          </w:p>
          <w:p>
            <w:pPr>
              <w:pStyle w:val="null3"/>
              <w:ind w:firstLine="480"/>
              <w:jc w:val="both"/>
            </w:pPr>
            <w:r>
              <w:rPr>
                <w:rFonts w:ascii="仿宋_GB2312" w:hAnsi="仿宋_GB2312" w:cs="仿宋_GB2312" w:eastAsia="仿宋_GB2312"/>
                <w:sz w:val="24"/>
                <w:color w:val="000000"/>
              </w:rPr>
              <w:t>（一）微信公众号、微博、视频号、抖音、今日头条的日常运维，完善平台的认证续约、常规栏目建设等工作。</w:t>
            </w:r>
          </w:p>
          <w:p>
            <w:pPr>
              <w:pStyle w:val="null3"/>
              <w:ind w:firstLine="480"/>
              <w:jc w:val="both"/>
            </w:pPr>
            <w:r>
              <w:rPr>
                <w:rFonts w:ascii="仿宋_GB2312" w:hAnsi="仿宋_GB2312" w:cs="仿宋_GB2312" w:eastAsia="仿宋_GB2312"/>
                <w:sz w:val="24"/>
                <w:color w:val="000000"/>
              </w:rPr>
              <w:t>（二）对新媒体账号进行整体</w:t>
            </w:r>
            <w:r>
              <w:rPr>
                <w:rFonts w:ascii="仿宋_GB2312" w:hAnsi="仿宋_GB2312" w:cs="仿宋_GB2312" w:eastAsia="仿宋_GB2312"/>
                <w:sz w:val="24"/>
                <w:color w:val="000000"/>
              </w:rPr>
              <w:t>VI设计，形成统一又符合各平台特色的形象设计。</w:t>
            </w:r>
          </w:p>
          <w:p>
            <w:pPr>
              <w:pStyle w:val="null3"/>
              <w:ind w:firstLine="480"/>
              <w:jc w:val="both"/>
            </w:pPr>
            <w:r>
              <w:rPr>
                <w:rFonts w:ascii="仿宋_GB2312" w:hAnsi="仿宋_GB2312" w:cs="仿宋_GB2312" w:eastAsia="仿宋_GB2312"/>
                <w:sz w:val="24"/>
                <w:color w:val="000000"/>
              </w:rPr>
              <w:t xml:space="preserve">   (三）结合未央法院工作特点做好信息收集采编、发布工作。</w:t>
            </w:r>
          </w:p>
          <w:p>
            <w:pPr>
              <w:pStyle w:val="null3"/>
              <w:ind w:firstLine="480"/>
              <w:jc w:val="both"/>
            </w:pPr>
            <w:r>
              <w:rPr>
                <w:rFonts w:ascii="仿宋_GB2312" w:hAnsi="仿宋_GB2312" w:cs="仿宋_GB2312" w:eastAsia="仿宋_GB2312"/>
                <w:sz w:val="24"/>
                <w:color w:val="000000"/>
              </w:rPr>
              <w:t>（四）创新宣传形式。重点工作、重要活动等推出相应主题策划系列报道；制作海报、短视频、</w:t>
            </w:r>
            <w:r>
              <w:rPr>
                <w:rFonts w:ascii="仿宋_GB2312" w:hAnsi="仿宋_GB2312" w:cs="仿宋_GB2312" w:eastAsia="仿宋_GB2312"/>
                <w:sz w:val="24"/>
                <w:color w:val="000000"/>
              </w:rPr>
              <w:t>H5页面、长图等新媒体产品，不断丰富呈现方式。</w:t>
            </w:r>
          </w:p>
          <w:p>
            <w:pPr>
              <w:pStyle w:val="null3"/>
              <w:spacing w:after="90"/>
              <w:ind w:firstLine="480"/>
              <w:jc w:val="both"/>
            </w:pPr>
            <w:r>
              <w:rPr>
                <w:rFonts w:ascii="仿宋_GB2312" w:hAnsi="仿宋_GB2312" w:cs="仿宋_GB2312" w:eastAsia="仿宋_GB2312"/>
                <w:sz w:val="24"/>
                <w:color w:val="000000"/>
              </w:rPr>
              <w:t>（五）协助回应网民关切。</w:t>
            </w:r>
          </w:p>
          <w:p>
            <w:pPr>
              <w:pStyle w:val="null3"/>
              <w:spacing w:after="90"/>
              <w:ind w:firstLine="480"/>
              <w:jc w:val="both"/>
            </w:pPr>
            <w:r>
              <w:rPr>
                <w:rFonts w:ascii="仿宋_GB2312" w:hAnsi="仿宋_GB2312" w:cs="仿宋_GB2312" w:eastAsia="仿宋_GB2312"/>
                <w:sz w:val="24"/>
                <w:color w:val="000000"/>
              </w:rPr>
              <w:t>（六）协助日常工作，如重要活动的拍照、信息稿撰写等。</w:t>
            </w:r>
          </w:p>
          <w:p>
            <w:pPr>
              <w:pStyle w:val="null3"/>
              <w:spacing w:after="90"/>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七）省级媒体宣传。</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color w:val="000000"/>
              </w:rPr>
              <w:t>服务商要求</w:t>
            </w:r>
          </w:p>
          <w:p>
            <w:pPr>
              <w:pStyle w:val="null3"/>
              <w:ind w:firstLine="480"/>
              <w:jc w:val="both"/>
            </w:pPr>
            <w:r>
              <w:rPr>
                <w:rFonts w:ascii="仿宋_GB2312" w:hAnsi="仿宋_GB2312" w:cs="仿宋_GB2312" w:eastAsia="仿宋_GB2312"/>
                <w:sz w:val="24"/>
                <w:color w:val="000000"/>
              </w:rPr>
              <w:t>（一）团队具有自媒体或媒体属性，人员需具有</w:t>
            </w:r>
            <w:r>
              <w:rPr>
                <w:rFonts w:ascii="仿宋_GB2312" w:hAnsi="仿宋_GB2312" w:cs="仿宋_GB2312" w:eastAsia="仿宋_GB2312"/>
                <w:sz w:val="24"/>
                <w:color w:val="000000"/>
              </w:rPr>
              <w:t>2年及以上媒体工作经验，驻派人员不得少于3人。</w:t>
            </w:r>
          </w:p>
          <w:p>
            <w:pPr>
              <w:pStyle w:val="null3"/>
              <w:ind w:firstLine="480"/>
              <w:jc w:val="both"/>
            </w:pPr>
            <w:r>
              <w:rPr>
                <w:rFonts w:ascii="仿宋_GB2312" w:hAnsi="仿宋_GB2312" w:cs="仿宋_GB2312" w:eastAsia="仿宋_GB2312"/>
                <w:sz w:val="24"/>
                <w:color w:val="000000"/>
              </w:rPr>
              <w:t>（二）服务形式：驻派</w:t>
            </w:r>
          </w:p>
          <w:p>
            <w:pPr>
              <w:pStyle w:val="null3"/>
              <w:jc w:val="both"/>
            </w:pPr>
            <w:r>
              <w:rPr>
                <w:rFonts w:ascii="仿宋_GB2312" w:hAnsi="仿宋_GB2312" w:cs="仿宋_GB2312" w:eastAsia="仿宋_GB2312"/>
                <w:sz w:val="24"/>
                <w:color w:val="000000"/>
              </w:rPr>
              <w:t xml:space="preserve">        （三）全年新媒体服务的数量、质量达到量化考核指标。</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color w:val="000000"/>
              </w:rPr>
              <w:t>量化考核指标</w:t>
            </w:r>
          </w:p>
          <w:p>
            <w:pPr>
              <w:pStyle w:val="null3"/>
              <w:ind w:firstLine="480"/>
              <w:jc w:val="both"/>
            </w:pPr>
            <w:r>
              <w:rPr>
                <w:rFonts w:ascii="仿宋_GB2312" w:hAnsi="仿宋_GB2312" w:cs="仿宋_GB2312" w:eastAsia="仿宋_GB2312"/>
                <w:sz w:val="24"/>
                <w:color w:val="000000"/>
              </w:rPr>
              <w:t>1.数量要求</w:t>
            </w:r>
          </w:p>
          <w:p>
            <w:pPr>
              <w:pStyle w:val="null3"/>
              <w:ind w:firstLine="480"/>
              <w:jc w:val="both"/>
            </w:pPr>
            <w:r>
              <w:rPr>
                <w:rFonts w:ascii="仿宋_GB2312" w:hAnsi="仿宋_GB2312" w:cs="仿宋_GB2312" w:eastAsia="仿宋_GB2312"/>
                <w:sz w:val="24"/>
                <w:color w:val="000000"/>
              </w:rPr>
              <w:t>1.1微信每天完成1条以上原创内容制作发布；</w:t>
            </w:r>
          </w:p>
          <w:p>
            <w:pPr>
              <w:pStyle w:val="null3"/>
              <w:ind w:firstLine="480"/>
              <w:jc w:val="both"/>
            </w:pPr>
            <w:r>
              <w:rPr>
                <w:rFonts w:ascii="仿宋_GB2312" w:hAnsi="仿宋_GB2312" w:cs="仿宋_GB2312" w:eastAsia="仿宋_GB2312"/>
                <w:sz w:val="24"/>
                <w:color w:val="000000"/>
              </w:rPr>
              <w:t>1.2 微博每天发布不少于12条，全年共计完成4380条；</w:t>
            </w:r>
          </w:p>
          <w:p>
            <w:pPr>
              <w:pStyle w:val="null3"/>
              <w:ind w:firstLine="480"/>
              <w:jc w:val="both"/>
            </w:pPr>
            <w:r>
              <w:rPr>
                <w:rFonts w:ascii="仿宋_GB2312" w:hAnsi="仿宋_GB2312" w:cs="仿宋_GB2312" w:eastAsia="仿宋_GB2312"/>
                <w:sz w:val="24"/>
                <w:color w:val="000000"/>
              </w:rPr>
              <w:t>1.3 抖音、视频号全年完成30条以上原创视频制作发布；</w:t>
            </w:r>
          </w:p>
          <w:p>
            <w:pPr>
              <w:pStyle w:val="null3"/>
              <w:ind w:firstLine="480"/>
              <w:jc w:val="both"/>
            </w:pPr>
            <w:r>
              <w:rPr>
                <w:rFonts w:ascii="仿宋_GB2312" w:hAnsi="仿宋_GB2312" w:cs="仿宋_GB2312" w:eastAsia="仿宋_GB2312"/>
                <w:sz w:val="24"/>
                <w:color w:val="000000"/>
              </w:rPr>
              <w:t>1.4全年制作长图、H5等新媒体产品不少于50次；</w:t>
            </w:r>
          </w:p>
          <w:p>
            <w:pPr>
              <w:pStyle w:val="null3"/>
              <w:ind w:firstLine="480"/>
              <w:jc w:val="both"/>
            </w:pPr>
            <w:r>
              <w:rPr>
                <w:rFonts w:ascii="仿宋_GB2312" w:hAnsi="仿宋_GB2312" w:cs="仿宋_GB2312" w:eastAsia="仿宋_GB2312"/>
                <w:sz w:val="24"/>
                <w:color w:val="000000"/>
              </w:rPr>
              <w:t>1.5省级电视媒体宣传不少于3次；</w:t>
            </w:r>
          </w:p>
          <w:p>
            <w:pPr>
              <w:pStyle w:val="null3"/>
              <w:ind w:firstLine="480"/>
              <w:jc w:val="both"/>
            </w:pPr>
            <w:r>
              <w:rPr>
                <w:rFonts w:ascii="仿宋_GB2312" w:hAnsi="仿宋_GB2312" w:cs="仿宋_GB2312" w:eastAsia="仿宋_GB2312"/>
                <w:sz w:val="24"/>
                <w:color w:val="000000"/>
              </w:rPr>
              <w:t>1.6省级媒体的新媒体账号发稿不少于20条。</w:t>
            </w:r>
          </w:p>
          <w:p>
            <w:pPr>
              <w:pStyle w:val="null3"/>
              <w:ind w:firstLine="480"/>
              <w:jc w:val="both"/>
            </w:pPr>
            <w:r>
              <w:rPr>
                <w:rFonts w:ascii="仿宋_GB2312" w:hAnsi="仿宋_GB2312" w:cs="仿宋_GB2312" w:eastAsia="仿宋_GB2312"/>
                <w:sz w:val="24"/>
                <w:color w:val="000000"/>
              </w:rPr>
              <w:t>2.质量要求</w:t>
            </w:r>
          </w:p>
          <w:p>
            <w:pPr>
              <w:pStyle w:val="null3"/>
              <w:ind w:firstLine="480"/>
              <w:jc w:val="both"/>
            </w:pPr>
            <w:r>
              <w:rPr>
                <w:rFonts w:ascii="仿宋_GB2312" w:hAnsi="仿宋_GB2312" w:cs="仿宋_GB2312" w:eastAsia="仿宋_GB2312"/>
                <w:sz w:val="24"/>
                <w:color w:val="000000"/>
              </w:rPr>
              <w:t>2.1合作期间（一年内）完成合作账号考核排名提升；</w:t>
            </w:r>
          </w:p>
          <w:p>
            <w:pPr>
              <w:pStyle w:val="null3"/>
              <w:ind w:firstLine="480"/>
              <w:jc w:val="both"/>
            </w:pPr>
            <w:r>
              <w:rPr>
                <w:rFonts w:ascii="仿宋_GB2312" w:hAnsi="仿宋_GB2312" w:cs="仿宋_GB2312" w:eastAsia="仿宋_GB2312"/>
                <w:sz w:val="24"/>
                <w:color w:val="000000"/>
              </w:rPr>
              <w:t>2.2 合作账号整体粉丝量实现提升；</w:t>
            </w:r>
          </w:p>
          <w:p>
            <w:pPr>
              <w:pStyle w:val="null3"/>
              <w:ind w:firstLine="480"/>
              <w:jc w:val="both"/>
            </w:pPr>
            <w:r>
              <w:rPr>
                <w:rFonts w:ascii="仿宋_GB2312" w:hAnsi="仿宋_GB2312" w:cs="仿宋_GB2312" w:eastAsia="仿宋_GB2312"/>
                <w:sz w:val="24"/>
                <w:color w:val="000000"/>
              </w:rPr>
              <w:t>2.3合作账号整体点击量（播放量）实现提升。</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4"/>
                <w:color w:val="000000"/>
              </w:rPr>
              <w:t xml:space="preserve">   服务期：</w:t>
            </w:r>
            <w:r>
              <w:rPr>
                <w:rFonts w:ascii="仿宋_GB2312" w:hAnsi="仿宋_GB2312" w:cs="仿宋_GB2312" w:eastAsia="仿宋_GB2312"/>
                <w:sz w:val="24"/>
                <w:color w:val="000000"/>
              </w:rPr>
              <w:t>12个月</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 xml:space="preserve">      付款方式：</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15个工作日内付款50%，其余50%款项于202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年底前完成支付。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达到国家及行业相关标准，并满足磋商文件要求。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其余款项于2025年底前完成支付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 件；自然人提供身份证明文件）； 2、具有良好的商业信誉和健全的财务会计制度（提供2023年度或2024年度财务审计报告或磋商前6个月内银行资信证明或财政部门认可的政府采购专业担保机构出具的投标担保函）； 3、具有履行合同所必需的设备和专业技术能力的书面声明（格式详见附件）； 4、具有依法缴纳税收和社会保障资金的良好记录（提供磋商前12个月内任意一个月份的社保和缴纳税收的证明，依法不需要缴纳社会保障资金、免税或无须缴纳税款的供应商，应提供相关证明文件)； 5、参加政府采购活动前3年内在经营活动中没有重大违法记录的书面声明（格式详见附件）。供应商需在项目电子化交易系统中按要求上传相应证明文件并进行电子签章。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一、资格审查资料docx.docx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具有良好的商业信誉和健全的财务会计制度（提供2023年度或2024年度财务审计报告或磋商前6个月内银行资信证明或财政部门认可的政府采购专业担保机构出具的投标担保函）；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一、资格审查资料docx.docx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 (单位负责人) 授权书及被授权人身份证复印件（法定代表人 (单位负责人) 直接参加投标，须提供法定代表人 (单位负责人) 身份证明及身份证复印件）；</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一、资格审查资料docx.docx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 (单位负责人) 或其委托 代理人的签名齐全并加盖单位章</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且报价不超过第二章“供应商须知”前附表规定 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不存在下列规定的任何一种情形，有下列情形 之一的，视为供应商相互恶意串通，响应文件 无效： (1) 不同供应商的响应文件由同一单位 或者个人编制； (2) 不同供应商委托同一单位 或者个人办理磋商事宜； (3) 不同供应商的响 应文件载明的项目管理成员为同一人； (4) 不 同供应商的响应文件异常一致或者磋商报价呈 规律性差异；</w:t>
            </w:r>
          </w:p>
        </w:tc>
        <w:tc>
          <w:tcPr>
            <w:tcW w:type="dxa" w:w="1661"/>
          </w:tcPr>
          <w:p>
            <w:pPr>
              <w:pStyle w:val="null3"/>
            </w:pPr>
            <w:r>
              <w:rPr>
                <w:rFonts w:ascii="仿宋_GB2312" w:hAnsi="仿宋_GB2312" w:cs="仿宋_GB2312" w:eastAsia="仿宋_GB2312"/>
              </w:rPr>
              <w:t>三、服务方案.docx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对项目的认识及分析</w:t>
            </w:r>
          </w:p>
        </w:tc>
        <w:tc>
          <w:tcPr>
            <w:tcW w:type="dxa" w:w="2492"/>
          </w:tcPr>
          <w:p>
            <w:pPr>
              <w:pStyle w:val="null3"/>
            </w:pPr>
            <w:r>
              <w:rPr>
                <w:rFonts w:ascii="仿宋_GB2312" w:hAnsi="仿宋_GB2312" w:cs="仿宋_GB2312" w:eastAsia="仿宋_GB2312"/>
              </w:rPr>
              <w:t>基于对项目内容的理解，对项目进行分析及服务方案阐述的正确性和合理性进行评分；由评标委员会对供应商响应内容进行对比打分： 对项目理解充分的得7.1-10分； 对项目基本理解的得3.1-7分； 对项目理解不全面的得0-3分。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针对本项目提供详细的服务方案、工作思路、内容重点及成果形式等， 进行综合评分： 方案编制详细，思路清晰得7.1-10分； 方案编制一般，思路基本清晰得3.1-7分； 方案编制不全面，思路不清晰得0-3分。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项目服务机构设置、管理框架层次分明，项目组人员专业搭配齐全，人员配备数量及职责分工合理可行，满足项目服务要求，得5.1-10分；项目组人员较少或配备不够合理的，得 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针对投标人提供的项目进度安排，从整体安排紧凑合理，各部分任务及其完成时间明确，总进度措施是否合理可行等方面进行综合评分： 进度安排得当、合理得7.1-10分； 进度安排基本得当、合理得3.1-7分； 进度安排不合理得0-3分。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针对投标人提供的质量保证措施方案，从质量保障措施是否合理可行等方面进行综合评分： 质量保障措施全面得7.1-10分； 质量保障措施较为全面得3.1-7分； 质量保障措施不全面的得0-3分。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具有合理完善的应急预案措施，方案细致完整、可行、描述条理清晰，内容齐全。方案合理、完善的得5.1-10分，方案较为合理、完善得2.1-5分，方案不太合理、措施一般得0-2分。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对项目服务工作有完善的保密、廉洁措施，得3.1-5分。 对项目服务工作保密、廉洁措施一般得0-3分。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根据投标人所提供的合理化建议进行综合评分： 所提供建议合理性较高得7.1-10分； 所提供建议一般得3.1-7分； 所提供建议不太合理得0-3分。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根据投标人提供的后续技术服务承诺与保证措施，能够承诺保证有足够的人力、物力等资源，保证按时按质按量完成委托的工作，并提供优质服务进行综合评分： 服务承诺合理、全面得3.1-5分； 服务承诺基本合理、全面得0-3分。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投标人具有2022年1月至今（以合同签订时间为准）承担过类似项目的，每提供一个得2分，最高得10分。 注：响应文件中提供合同复印件或中标通知书加盖公章。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投标人的价格分统一采用低价优先法计算，即满足招标文件要求且投标价格最低的投标报价为评标基准价，其价格分为满分。 其他投标人的价格分统一按照下列公式计算： 投标报价得分=(评标基准价／投标报价)×10%×100 符合磋商文件规定的小微企业、监狱企业、残疾人福利企业优惠条件的供应商，价格给予10%的扣除，用扣除后的价格参与评审。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详见附件：一、资格审查资料docx.docx</w:t>
      </w:r>
    </w:p>
    <w:p>
      <w:pPr>
        <w:pStyle w:val="null3"/>
        <w:ind w:firstLine="960"/>
      </w:pPr>
      <w:r>
        <w:rPr>
          <w:rFonts w:ascii="仿宋_GB2312" w:hAnsi="仿宋_GB2312" w:cs="仿宋_GB2312" w:eastAsia="仿宋_GB2312"/>
        </w:rPr>
        <w:t>详见附件：二、商务及技术响应偏离表docx.docx</w:t>
      </w:r>
    </w:p>
    <w:p>
      <w:pPr>
        <w:pStyle w:val="null3"/>
        <w:ind w:firstLine="960"/>
      </w:pPr>
      <w:r>
        <w:rPr>
          <w:rFonts w:ascii="仿宋_GB2312" w:hAnsi="仿宋_GB2312" w:cs="仿宋_GB2312" w:eastAsia="仿宋_GB2312"/>
        </w:rPr>
        <w:t>详见附件：三、服务方案.docx</w:t>
      </w:r>
    </w:p>
    <w:p>
      <w:pPr>
        <w:pStyle w:val="null3"/>
        <w:ind w:firstLine="960"/>
      </w:pPr>
      <w:r>
        <w:rPr>
          <w:rFonts w:ascii="仿宋_GB2312" w:hAnsi="仿宋_GB2312" w:cs="仿宋_GB2312" w:eastAsia="仿宋_GB2312"/>
        </w:rPr>
        <w:t>详见附件：四、承诺书docx.docx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