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36F3CE90">
      <w:pPr>
        <w:rPr>
          <w:sz w:val="36"/>
          <w:szCs w:val="36"/>
        </w:rPr>
      </w:pPr>
      <w:r>
        <w:rPr>
          <w:rFonts w:hint="eastAsia"/>
          <w:sz w:val="36"/>
          <w:szCs w:val="36"/>
          <w:lang w:eastAsia="zh-CN"/>
        </w:rPr>
        <w:t>采购</w:t>
      </w:r>
      <w:bookmarkStart w:id="0" w:name="_GoBack"/>
      <w:bookmarkEnd w:id="0"/>
      <w:r>
        <w:rPr>
          <w:rFonts w:hint="eastAsia"/>
          <w:sz w:val="36"/>
          <w:szCs w:val="36"/>
        </w:rPr>
        <w:t>合同</w:t>
      </w:r>
    </w:p>
    <w:p w14:paraId="42483564">
      <w:pPr>
        <w:ind w:firstLine="720"/>
        <w:rPr>
          <w:sz w:val="36"/>
          <w:szCs w:val="36"/>
        </w:rPr>
      </w:pPr>
    </w:p>
    <w:p w14:paraId="00BBF8F7">
      <w:pPr>
        <w:jc w:val="left"/>
        <w:rPr>
          <w:rFonts w:hint="eastAsia"/>
          <w:lang w:val="en-US" w:eastAsia="zh-CN"/>
        </w:rPr>
      </w:pPr>
      <w:r>
        <w:rPr>
          <w:rFonts w:hint="eastAsia"/>
        </w:rPr>
        <w:t>甲方（买方）：</w:t>
      </w:r>
      <w:r>
        <w:rPr>
          <w:rFonts w:hint="eastAsia"/>
          <w:lang w:val="en-US" w:eastAsia="zh-CN"/>
        </w:rPr>
        <w:t xml:space="preserve"> </w:t>
      </w:r>
    </w:p>
    <w:p w14:paraId="0509E8D3">
      <w:pPr>
        <w:jc w:val="left"/>
        <w:rPr>
          <w:rFonts w:hint="eastAsia"/>
        </w:rPr>
      </w:pPr>
      <w:r>
        <w:rPr>
          <w:rFonts w:hint="eastAsia"/>
        </w:rPr>
        <w:t>乙方（卖方）：</w:t>
      </w:r>
    </w:p>
    <w:p w14:paraId="0D40506C">
      <w:pPr>
        <w:jc w:val="left"/>
        <w:rPr>
          <w:rFonts w:cs="宋体"/>
          <w:kern w:val="0"/>
        </w:rPr>
      </w:pPr>
      <w:r>
        <w:rPr>
          <w:rFonts w:hint="eastAsia"/>
        </w:rPr>
        <w:t xml:space="preserve">                                                                            </w:t>
      </w:r>
    </w:p>
    <w:p w14:paraId="7759E7EB">
      <w:pPr>
        <w:spacing w:before="0" w:beforeLines="0" w:after="0" w:afterLines="0" w:line="360" w:lineRule="auto"/>
        <w:ind w:firstLine="420" w:firstLineChars="200"/>
        <w:jc w:val="left"/>
      </w:pPr>
      <w:r>
        <w:rPr>
          <w:rFonts w:hint="eastAsia"/>
        </w:rPr>
        <w:t>甲乙双方本着公平、互利、诚实信用的原则，经过友好协商一致，依据《中华人民共和国民法典》及有关法律，订立本合同；以资共同遵照执行。</w:t>
      </w:r>
    </w:p>
    <w:p w14:paraId="4F231469">
      <w:pPr>
        <w:spacing w:before="0" w:beforeLines="0" w:after="0" w:afterLines="0" w:line="360" w:lineRule="auto"/>
        <w:jc w:val="left"/>
      </w:pPr>
      <w:r>
        <w:rPr>
          <w:rFonts w:hint="eastAsia"/>
        </w:rPr>
        <w:t>一、销售内容（下称产品或货物）</w:t>
      </w:r>
    </w:p>
    <w:p w14:paraId="0FD2EBAB">
      <w:pPr>
        <w:spacing w:before="0" w:beforeLines="0" w:after="0" w:afterLines="0" w:line="360" w:lineRule="auto"/>
        <w:ind w:firstLine="420" w:firstLineChars="200"/>
        <w:jc w:val="left"/>
      </w:pPr>
      <w:r>
        <w:rPr>
          <w:rFonts w:hint="eastAsia"/>
        </w:rPr>
        <w:t>产品明细：</w:t>
      </w:r>
      <w:r>
        <w:rPr>
          <w:rFonts w:hint="eastAsia"/>
          <w:u w:val="single"/>
          <w:lang w:val="en-US" w:eastAsia="zh-CN"/>
        </w:rPr>
        <w:t xml:space="preserve">                  </w:t>
      </w:r>
      <w:r>
        <w:rPr>
          <w:rFonts w:hint="eastAsia"/>
        </w:rPr>
        <w:t>，（发票内容以乙方开具内容为准，实际交货以产品详细配置为准。）</w:t>
      </w:r>
    </w:p>
    <w:tbl>
      <w:tblPr>
        <w:tblStyle w:val="9"/>
        <w:tblW w:w="5998" w:type="pct"/>
        <w:jc w:val="center"/>
        <w:tblLayout w:type="autofit"/>
        <w:tblCellMar>
          <w:top w:w="0" w:type="dxa"/>
          <w:left w:w="108" w:type="dxa"/>
          <w:bottom w:w="0" w:type="dxa"/>
          <w:right w:w="108" w:type="dxa"/>
        </w:tblCellMar>
      </w:tblPr>
      <w:tblGrid>
        <w:gridCol w:w="576"/>
        <w:gridCol w:w="1281"/>
        <w:gridCol w:w="1292"/>
        <w:gridCol w:w="3307"/>
        <w:gridCol w:w="814"/>
        <w:gridCol w:w="1012"/>
        <w:gridCol w:w="796"/>
        <w:gridCol w:w="1145"/>
      </w:tblGrid>
      <w:tr w14:paraId="5B9010B7">
        <w:tblPrEx>
          <w:tblCellMar>
            <w:top w:w="0" w:type="dxa"/>
            <w:left w:w="108" w:type="dxa"/>
            <w:bottom w:w="0" w:type="dxa"/>
            <w:right w:w="108" w:type="dxa"/>
          </w:tblCellMar>
        </w:tblPrEx>
        <w:trPr>
          <w:trHeight w:val="525" w:hRule="atLeast"/>
          <w:jc w:val="center"/>
        </w:trPr>
        <w:tc>
          <w:tcPr>
            <w:tcW w:w="281" w:type="pct"/>
            <w:tcBorders>
              <w:top w:val="single" w:color="auto" w:sz="4" w:space="0"/>
              <w:left w:val="single" w:color="auto" w:sz="4" w:space="0"/>
              <w:bottom w:val="single" w:color="auto" w:sz="4" w:space="0"/>
              <w:right w:val="single" w:color="auto" w:sz="4" w:space="0"/>
            </w:tcBorders>
            <w:shd w:val="clear" w:color="auto" w:fill="D8D8D8" w:themeFill="background1" w:themeFillShade="D9"/>
            <w:noWrap/>
            <w:vAlign w:val="center"/>
          </w:tcPr>
          <w:p w14:paraId="29A7CBB3">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序号</w:t>
            </w:r>
          </w:p>
        </w:tc>
        <w:tc>
          <w:tcPr>
            <w:tcW w:w="627" w:type="pct"/>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238E1912">
            <w:pPr>
              <w:widowControl/>
              <w:spacing w:before="0" w:beforeLines="0" w:after="0" w:afterLines="0"/>
              <w:rPr>
                <w:rFonts w:hint="eastAsia" w:cs="宋体" w:asciiTheme="minorEastAsia" w:hAnsiTheme="minorEastAsia" w:eastAsiaTheme="minorEastAsia"/>
                <w:kern w:val="0"/>
                <w:sz w:val="18"/>
                <w:szCs w:val="18"/>
                <w:lang w:val="en-US" w:eastAsia="zh-CN"/>
              </w:rPr>
            </w:pPr>
            <w:r>
              <w:rPr>
                <w:rFonts w:hint="eastAsia" w:cs="宋体" w:asciiTheme="minorEastAsia" w:hAnsiTheme="minorEastAsia" w:eastAsiaTheme="minorEastAsia"/>
                <w:kern w:val="0"/>
                <w:sz w:val="18"/>
                <w:szCs w:val="18"/>
                <w:lang w:val="en-US" w:eastAsia="zh-CN"/>
              </w:rPr>
              <w:t>产品名称</w:t>
            </w:r>
          </w:p>
        </w:tc>
        <w:tc>
          <w:tcPr>
            <w:tcW w:w="632" w:type="pct"/>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4A64D5F">
            <w:pPr>
              <w:widowControl/>
              <w:spacing w:before="0" w:beforeLines="0" w:after="0" w:afterLines="0"/>
              <w:rPr>
                <w:rFonts w:hint="eastAsia" w:cs="宋体" w:asciiTheme="minorEastAsia" w:hAnsiTheme="minorEastAsia" w:eastAsiaTheme="minorEastAsia"/>
                <w:kern w:val="0"/>
                <w:sz w:val="18"/>
                <w:szCs w:val="18"/>
                <w:lang w:val="en-US" w:eastAsia="zh-CN"/>
              </w:rPr>
            </w:pPr>
            <w:r>
              <w:rPr>
                <w:rFonts w:hint="eastAsia" w:cs="宋体" w:asciiTheme="minorEastAsia" w:hAnsiTheme="minorEastAsia" w:eastAsiaTheme="minorEastAsia"/>
                <w:kern w:val="0"/>
                <w:sz w:val="18"/>
                <w:szCs w:val="18"/>
                <w:lang w:val="en-US" w:eastAsia="zh-CN"/>
              </w:rPr>
              <w:t>品牌/</w:t>
            </w:r>
            <w:r>
              <w:rPr>
                <w:rFonts w:hint="eastAsia" w:cs="宋体" w:asciiTheme="minorEastAsia" w:hAnsiTheme="minorEastAsia" w:eastAsiaTheme="minorEastAsia"/>
                <w:kern w:val="0"/>
                <w:sz w:val="18"/>
                <w:szCs w:val="18"/>
              </w:rPr>
              <w:t>型号</w:t>
            </w:r>
          </w:p>
        </w:tc>
        <w:tc>
          <w:tcPr>
            <w:tcW w:w="1617" w:type="pct"/>
            <w:tcBorders>
              <w:top w:val="single" w:color="auto" w:sz="4" w:space="0"/>
              <w:left w:val="nil"/>
              <w:bottom w:val="single" w:color="auto" w:sz="4" w:space="0"/>
              <w:right w:val="single" w:color="auto" w:sz="4" w:space="0"/>
            </w:tcBorders>
            <w:shd w:val="clear" w:color="auto" w:fill="D8D8D8" w:themeFill="background1" w:themeFillShade="D9"/>
            <w:vAlign w:val="center"/>
          </w:tcPr>
          <w:p w14:paraId="5AF33484">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详细配置与技术规格</w:t>
            </w:r>
          </w:p>
        </w:tc>
        <w:tc>
          <w:tcPr>
            <w:tcW w:w="398" w:type="pct"/>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3F328139">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数量</w:t>
            </w:r>
          </w:p>
        </w:tc>
        <w:tc>
          <w:tcPr>
            <w:tcW w:w="493" w:type="pct"/>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0F94364F">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单价</w:t>
            </w:r>
          </w:p>
        </w:tc>
        <w:tc>
          <w:tcPr>
            <w:tcW w:w="389" w:type="pct"/>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43F43CEE">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合计</w:t>
            </w:r>
          </w:p>
        </w:tc>
        <w:tc>
          <w:tcPr>
            <w:tcW w:w="560" w:type="pct"/>
            <w:tcBorders>
              <w:top w:val="single" w:color="auto" w:sz="4" w:space="0"/>
              <w:left w:val="nil"/>
              <w:bottom w:val="single" w:color="auto" w:sz="4" w:space="0"/>
              <w:right w:val="single" w:color="auto" w:sz="4" w:space="0"/>
            </w:tcBorders>
            <w:shd w:val="clear" w:color="auto" w:fill="D8D8D8" w:themeFill="background1" w:themeFillShade="D9"/>
            <w:noWrap/>
            <w:vAlign w:val="center"/>
          </w:tcPr>
          <w:p w14:paraId="69E09945">
            <w:pPr>
              <w:widowControl/>
              <w:spacing w:before="0" w:beforeLines="0" w:after="0" w:afterLines="0"/>
              <w:rPr>
                <w:rFonts w:hint="eastAsia" w:cs="宋体" w:asciiTheme="minorEastAsia" w:hAnsiTheme="minorEastAsia" w:eastAsiaTheme="minorEastAsia"/>
                <w:kern w:val="0"/>
                <w:sz w:val="18"/>
                <w:szCs w:val="18"/>
                <w:lang w:val="en-US" w:eastAsia="zh-CN"/>
              </w:rPr>
            </w:pPr>
            <w:r>
              <w:rPr>
                <w:rFonts w:hint="eastAsia" w:cs="宋体" w:asciiTheme="minorEastAsia" w:hAnsiTheme="minorEastAsia" w:eastAsiaTheme="minorEastAsia"/>
                <w:kern w:val="0"/>
                <w:sz w:val="18"/>
                <w:szCs w:val="18"/>
                <w:lang w:val="en-US" w:eastAsia="zh-CN"/>
              </w:rPr>
              <w:t>备注</w:t>
            </w:r>
          </w:p>
        </w:tc>
      </w:tr>
      <w:tr w14:paraId="58FFF584">
        <w:tblPrEx>
          <w:tblCellMar>
            <w:top w:w="0" w:type="dxa"/>
            <w:left w:w="108" w:type="dxa"/>
            <w:bottom w:w="0" w:type="dxa"/>
            <w:right w:w="108" w:type="dxa"/>
          </w:tblCellMar>
        </w:tblPrEx>
        <w:trPr>
          <w:trHeight w:val="677" w:hRule="atLeast"/>
          <w:jc w:val="center"/>
        </w:trPr>
        <w:tc>
          <w:tcPr>
            <w:tcW w:w="281" w:type="pct"/>
            <w:tcBorders>
              <w:top w:val="nil"/>
              <w:left w:val="single" w:color="auto" w:sz="4" w:space="0"/>
              <w:bottom w:val="single" w:color="auto" w:sz="4" w:space="0"/>
              <w:right w:val="single" w:color="auto" w:sz="4" w:space="0"/>
            </w:tcBorders>
            <w:shd w:val="clear" w:color="000000" w:fill="FFFFFF"/>
            <w:vAlign w:val="center"/>
          </w:tcPr>
          <w:p w14:paraId="1EF4E4EC">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1</w:t>
            </w:r>
          </w:p>
        </w:tc>
        <w:tc>
          <w:tcPr>
            <w:tcW w:w="627" w:type="pct"/>
            <w:tcBorders>
              <w:top w:val="nil"/>
              <w:left w:val="nil"/>
              <w:bottom w:val="single" w:color="auto" w:sz="4" w:space="0"/>
              <w:right w:val="single" w:color="auto" w:sz="4" w:space="0"/>
            </w:tcBorders>
            <w:shd w:val="clear" w:color="000000" w:fill="FFFFFF"/>
            <w:vAlign w:val="center"/>
          </w:tcPr>
          <w:p w14:paraId="262426CA">
            <w:pPr>
              <w:widowControl/>
              <w:spacing w:before="0" w:beforeLines="0" w:after="0" w:afterLines="0"/>
              <w:rPr>
                <w:rFonts w:hint="eastAsia" w:cs="宋体" w:asciiTheme="minorEastAsia" w:hAnsiTheme="minorEastAsia" w:eastAsiaTheme="minorEastAsia"/>
                <w:kern w:val="0"/>
                <w:sz w:val="18"/>
                <w:szCs w:val="18"/>
              </w:rPr>
            </w:pPr>
          </w:p>
        </w:tc>
        <w:tc>
          <w:tcPr>
            <w:tcW w:w="632" w:type="pct"/>
            <w:tcBorders>
              <w:top w:val="nil"/>
              <w:left w:val="nil"/>
              <w:bottom w:val="single" w:color="auto" w:sz="4" w:space="0"/>
              <w:right w:val="single" w:color="auto" w:sz="4" w:space="0"/>
            </w:tcBorders>
            <w:shd w:val="clear" w:color="000000" w:fill="FFFFFF"/>
            <w:vAlign w:val="center"/>
          </w:tcPr>
          <w:p w14:paraId="56FC3FA6">
            <w:pPr>
              <w:widowControl/>
              <w:spacing w:before="0" w:beforeLines="0" w:after="0" w:afterLines="0"/>
              <w:rPr>
                <w:rFonts w:hint="eastAsia" w:cs="宋体" w:asciiTheme="minorEastAsia" w:hAnsiTheme="minorEastAsia" w:eastAsiaTheme="minorEastAsia"/>
                <w:kern w:val="0"/>
                <w:sz w:val="18"/>
                <w:szCs w:val="18"/>
              </w:rPr>
            </w:pPr>
          </w:p>
        </w:tc>
        <w:tc>
          <w:tcPr>
            <w:tcW w:w="1617" w:type="pct"/>
            <w:tcBorders>
              <w:top w:val="nil"/>
              <w:left w:val="nil"/>
              <w:bottom w:val="single" w:color="auto" w:sz="4" w:space="0"/>
              <w:right w:val="single" w:color="auto" w:sz="4" w:space="0"/>
            </w:tcBorders>
            <w:shd w:val="clear" w:color="000000" w:fill="FFFFFF"/>
            <w:vAlign w:val="center"/>
          </w:tcPr>
          <w:p w14:paraId="262297C0">
            <w:pPr>
              <w:widowControl/>
              <w:spacing w:before="0" w:beforeLines="0" w:after="0" w:afterLines="0"/>
              <w:jc w:val="left"/>
              <w:rPr>
                <w:rFonts w:hint="eastAsia" w:cs="宋体" w:asciiTheme="minorEastAsia" w:hAnsiTheme="minorEastAsia" w:eastAsiaTheme="minorEastAsia"/>
                <w:kern w:val="0"/>
                <w:sz w:val="18"/>
                <w:szCs w:val="18"/>
              </w:rPr>
            </w:pPr>
          </w:p>
        </w:tc>
        <w:tc>
          <w:tcPr>
            <w:tcW w:w="398" w:type="pct"/>
            <w:tcBorders>
              <w:top w:val="nil"/>
              <w:left w:val="nil"/>
              <w:bottom w:val="single" w:color="auto" w:sz="4" w:space="0"/>
              <w:right w:val="single" w:color="auto" w:sz="4" w:space="0"/>
            </w:tcBorders>
            <w:shd w:val="clear" w:color="000000" w:fill="FFFFFF"/>
            <w:noWrap/>
            <w:vAlign w:val="center"/>
          </w:tcPr>
          <w:p w14:paraId="18246F6D">
            <w:pPr>
              <w:widowControl/>
              <w:spacing w:before="0" w:beforeLines="0" w:after="0" w:afterLines="0"/>
              <w:rPr>
                <w:rFonts w:hint="eastAsia" w:cs="宋体" w:asciiTheme="minorEastAsia" w:hAnsiTheme="minorEastAsia" w:eastAsiaTheme="minorEastAsia"/>
                <w:kern w:val="0"/>
                <w:sz w:val="18"/>
                <w:szCs w:val="18"/>
              </w:rPr>
            </w:pPr>
          </w:p>
        </w:tc>
        <w:tc>
          <w:tcPr>
            <w:tcW w:w="493" w:type="pct"/>
            <w:tcBorders>
              <w:top w:val="nil"/>
              <w:left w:val="nil"/>
              <w:bottom w:val="single" w:color="auto" w:sz="4" w:space="0"/>
              <w:right w:val="single" w:color="auto" w:sz="4" w:space="0"/>
            </w:tcBorders>
            <w:shd w:val="clear" w:color="000000" w:fill="FFFFFF"/>
            <w:noWrap/>
            <w:vAlign w:val="center"/>
          </w:tcPr>
          <w:p w14:paraId="48D377CC">
            <w:pPr>
              <w:widowControl/>
              <w:spacing w:before="0" w:beforeLines="0" w:after="0" w:afterLines="0"/>
              <w:jc w:val="righ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 xml:space="preserve"> </w:t>
            </w:r>
          </w:p>
        </w:tc>
        <w:tc>
          <w:tcPr>
            <w:tcW w:w="389" w:type="pct"/>
            <w:tcBorders>
              <w:top w:val="nil"/>
              <w:left w:val="nil"/>
              <w:bottom w:val="single" w:color="auto" w:sz="4" w:space="0"/>
              <w:right w:val="single" w:color="auto" w:sz="4" w:space="0"/>
            </w:tcBorders>
            <w:shd w:val="clear" w:color="000000" w:fill="FFFFFF"/>
            <w:noWrap/>
            <w:vAlign w:val="center"/>
          </w:tcPr>
          <w:p w14:paraId="73A7A6B9">
            <w:pPr>
              <w:widowControl/>
              <w:spacing w:before="0" w:beforeLines="0" w:after="0" w:afterLines="0"/>
              <w:jc w:val="righ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 xml:space="preserve"> </w:t>
            </w:r>
          </w:p>
        </w:tc>
        <w:tc>
          <w:tcPr>
            <w:tcW w:w="560" w:type="pct"/>
            <w:tcBorders>
              <w:top w:val="nil"/>
              <w:left w:val="nil"/>
              <w:bottom w:val="single" w:color="auto" w:sz="4" w:space="0"/>
              <w:right w:val="single" w:color="auto" w:sz="4" w:space="0"/>
            </w:tcBorders>
            <w:shd w:val="clear" w:color="000000" w:fill="FFFFFF"/>
            <w:noWrap/>
            <w:vAlign w:val="center"/>
          </w:tcPr>
          <w:p w14:paraId="1A5F57A9">
            <w:pPr>
              <w:widowControl/>
              <w:spacing w:before="0" w:beforeLines="0" w:after="0" w:afterLines="0"/>
              <w:jc w:val="right"/>
              <w:rPr>
                <w:rFonts w:hint="eastAsia" w:cs="宋体" w:asciiTheme="minorEastAsia" w:hAnsiTheme="minorEastAsia" w:eastAsiaTheme="minorEastAsia"/>
                <w:kern w:val="0"/>
                <w:sz w:val="18"/>
                <w:szCs w:val="18"/>
              </w:rPr>
            </w:pPr>
          </w:p>
        </w:tc>
      </w:tr>
      <w:tr w14:paraId="6E65E77E">
        <w:tblPrEx>
          <w:tblCellMar>
            <w:top w:w="0" w:type="dxa"/>
            <w:left w:w="108" w:type="dxa"/>
            <w:bottom w:w="0" w:type="dxa"/>
            <w:right w:w="108" w:type="dxa"/>
          </w:tblCellMar>
        </w:tblPrEx>
        <w:trPr>
          <w:trHeight w:val="672" w:hRule="atLeast"/>
          <w:jc w:val="center"/>
        </w:trPr>
        <w:tc>
          <w:tcPr>
            <w:tcW w:w="281" w:type="pct"/>
            <w:tcBorders>
              <w:top w:val="nil"/>
              <w:left w:val="single" w:color="auto" w:sz="4" w:space="0"/>
              <w:bottom w:val="single" w:color="auto" w:sz="4" w:space="0"/>
              <w:right w:val="single" w:color="auto" w:sz="4" w:space="0"/>
            </w:tcBorders>
            <w:shd w:val="clear" w:color="000000" w:fill="FFFFFF"/>
            <w:vAlign w:val="center"/>
          </w:tcPr>
          <w:p w14:paraId="6E31CB11">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2</w:t>
            </w:r>
          </w:p>
        </w:tc>
        <w:tc>
          <w:tcPr>
            <w:tcW w:w="627" w:type="pct"/>
            <w:tcBorders>
              <w:top w:val="nil"/>
              <w:left w:val="nil"/>
              <w:bottom w:val="single" w:color="auto" w:sz="4" w:space="0"/>
              <w:right w:val="single" w:color="auto" w:sz="4" w:space="0"/>
            </w:tcBorders>
            <w:shd w:val="clear" w:color="000000" w:fill="FFFFFF"/>
            <w:vAlign w:val="center"/>
          </w:tcPr>
          <w:p w14:paraId="4D0E5D02">
            <w:pPr>
              <w:widowControl/>
              <w:spacing w:before="0" w:beforeLines="0" w:after="0" w:afterLines="0"/>
              <w:rPr>
                <w:rFonts w:hint="eastAsia" w:cs="宋体" w:asciiTheme="minorEastAsia" w:hAnsiTheme="minorEastAsia" w:eastAsiaTheme="minorEastAsia"/>
                <w:kern w:val="0"/>
                <w:sz w:val="18"/>
                <w:szCs w:val="18"/>
              </w:rPr>
            </w:pPr>
          </w:p>
        </w:tc>
        <w:tc>
          <w:tcPr>
            <w:tcW w:w="632" w:type="pct"/>
            <w:tcBorders>
              <w:top w:val="nil"/>
              <w:left w:val="nil"/>
              <w:bottom w:val="single" w:color="auto" w:sz="4" w:space="0"/>
              <w:right w:val="single" w:color="auto" w:sz="4" w:space="0"/>
            </w:tcBorders>
            <w:shd w:val="clear" w:color="000000" w:fill="FFFFFF"/>
            <w:vAlign w:val="center"/>
          </w:tcPr>
          <w:p w14:paraId="7AA35AF1">
            <w:pPr>
              <w:widowControl/>
              <w:spacing w:before="0" w:beforeLines="0" w:after="0" w:afterLines="0"/>
              <w:rPr>
                <w:rFonts w:hint="eastAsia" w:cs="宋体" w:asciiTheme="minorEastAsia" w:hAnsiTheme="minorEastAsia" w:eastAsiaTheme="minorEastAsia"/>
                <w:kern w:val="0"/>
                <w:sz w:val="18"/>
                <w:szCs w:val="18"/>
              </w:rPr>
            </w:pPr>
          </w:p>
        </w:tc>
        <w:tc>
          <w:tcPr>
            <w:tcW w:w="1617" w:type="pct"/>
            <w:tcBorders>
              <w:top w:val="nil"/>
              <w:left w:val="nil"/>
              <w:bottom w:val="single" w:color="auto" w:sz="4" w:space="0"/>
              <w:right w:val="single" w:color="auto" w:sz="4" w:space="0"/>
            </w:tcBorders>
            <w:shd w:val="clear" w:color="000000" w:fill="FFFFFF"/>
            <w:vAlign w:val="center"/>
          </w:tcPr>
          <w:p w14:paraId="67E4D79E">
            <w:pPr>
              <w:widowControl/>
              <w:spacing w:before="0" w:beforeLines="0" w:after="0" w:afterLines="0"/>
              <w:jc w:val="left"/>
              <w:rPr>
                <w:rFonts w:hint="eastAsia" w:cs="宋体" w:asciiTheme="minorEastAsia" w:hAnsiTheme="minorEastAsia" w:eastAsiaTheme="minorEastAsia"/>
                <w:kern w:val="0"/>
                <w:sz w:val="18"/>
                <w:szCs w:val="18"/>
              </w:rPr>
            </w:pPr>
          </w:p>
        </w:tc>
        <w:tc>
          <w:tcPr>
            <w:tcW w:w="398" w:type="pct"/>
            <w:tcBorders>
              <w:top w:val="nil"/>
              <w:left w:val="nil"/>
              <w:bottom w:val="single" w:color="auto" w:sz="4" w:space="0"/>
              <w:right w:val="single" w:color="auto" w:sz="4" w:space="0"/>
            </w:tcBorders>
            <w:shd w:val="clear" w:color="000000" w:fill="FFFFFF"/>
            <w:noWrap/>
            <w:vAlign w:val="center"/>
          </w:tcPr>
          <w:p w14:paraId="5130C335">
            <w:pPr>
              <w:widowControl/>
              <w:spacing w:before="0" w:beforeLines="0" w:after="0" w:afterLines="0"/>
              <w:rPr>
                <w:rFonts w:hint="eastAsia" w:cs="宋体" w:asciiTheme="minorEastAsia" w:hAnsiTheme="minorEastAsia" w:eastAsiaTheme="minorEastAsia"/>
                <w:kern w:val="0"/>
                <w:sz w:val="18"/>
                <w:szCs w:val="18"/>
              </w:rPr>
            </w:pPr>
          </w:p>
        </w:tc>
        <w:tc>
          <w:tcPr>
            <w:tcW w:w="493" w:type="pct"/>
            <w:tcBorders>
              <w:top w:val="nil"/>
              <w:left w:val="nil"/>
              <w:bottom w:val="single" w:color="auto" w:sz="4" w:space="0"/>
              <w:right w:val="single" w:color="auto" w:sz="4" w:space="0"/>
            </w:tcBorders>
            <w:shd w:val="clear" w:color="000000" w:fill="FFFFFF"/>
            <w:noWrap/>
            <w:vAlign w:val="center"/>
          </w:tcPr>
          <w:p w14:paraId="56BD96ED">
            <w:pPr>
              <w:widowControl/>
              <w:spacing w:before="0" w:beforeLines="0" w:after="0" w:afterLines="0"/>
              <w:jc w:val="righ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 xml:space="preserve"> </w:t>
            </w:r>
          </w:p>
        </w:tc>
        <w:tc>
          <w:tcPr>
            <w:tcW w:w="389" w:type="pct"/>
            <w:tcBorders>
              <w:top w:val="nil"/>
              <w:left w:val="nil"/>
              <w:bottom w:val="single" w:color="auto" w:sz="4" w:space="0"/>
              <w:right w:val="single" w:color="auto" w:sz="4" w:space="0"/>
            </w:tcBorders>
            <w:shd w:val="clear" w:color="000000" w:fill="FFFFFF"/>
            <w:noWrap/>
            <w:vAlign w:val="center"/>
          </w:tcPr>
          <w:p w14:paraId="4253F7A9">
            <w:pPr>
              <w:widowControl/>
              <w:spacing w:before="0" w:beforeLines="0" w:after="0" w:afterLines="0"/>
              <w:jc w:val="righ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 xml:space="preserve"> </w:t>
            </w:r>
          </w:p>
        </w:tc>
        <w:tc>
          <w:tcPr>
            <w:tcW w:w="560" w:type="pct"/>
            <w:tcBorders>
              <w:top w:val="nil"/>
              <w:left w:val="nil"/>
              <w:bottom w:val="single" w:color="auto" w:sz="4" w:space="0"/>
              <w:right w:val="single" w:color="auto" w:sz="4" w:space="0"/>
            </w:tcBorders>
            <w:shd w:val="clear" w:color="000000" w:fill="FFFFFF"/>
            <w:noWrap/>
            <w:vAlign w:val="center"/>
          </w:tcPr>
          <w:p w14:paraId="74EA4DAD">
            <w:pPr>
              <w:widowControl/>
              <w:spacing w:before="0" w:beforeLines="0" w:after="0" w:afterLines="0"/>
              <w:jc w:val="right"/>
              <w:rPr>
                <w:rFonts w:hint="eastAsia" w:cs="宋体" w:asciiTheme="minorEastAsia" w:hAnsiTheme="minorEastAsia" w:eastAsiaTheme="minorEastAsia"/>
                <w:kern w:val="0"/>
                <w:sz w:val="18"/>
                <w:szCs w:val="18"/>
              </w:rPr>
            </w:pPr>
          </w:p>
        </w:tc>
      </w:tr>
      <w:tr w14:paraId="2595E5F0">
        <w:tblPrEx>
          <w:tblCellMar>
            <w:top w:w="0" w:type="dxa"/>
            <w:left w:w="108" w:type="dxa"/>
            <w:bottom w:w="0" w:type="dxa"/>
            <w:right w:w="108" w:type="dxa"/>
          </w:tblCellMar>
        </w:tblPrEx>
        <w:trPr>
          <w:trHeight w:val="583" w:hRule="atLeast"/>
          <w:jc w:val="center"/>
        </w:trPr>
        <w:tc>
          <w:tcPr>
            <w:tcW w:w="281" w:type="pct"/>
            <w:tcBorders>
              <w:top w:val="nil"/>
              <w:left w:val="single" w:color="auto" w:sz="4" w:space="0"/>
              <w:bottom w:val="nil"/>
              <w:right w:val="single" w:color="auto" w:sz="4" w:space="0"/>
            </w:tcBorders>
            <w:shd w:val="clear" w:color="000000" w:fill="FFFFFF"/>
            <w:vAlign w:val="center"/>
          </w:tcPr>
          <w:p w14:paraId="7CE177DA">
            <w:pPr>
              <w:widowControl/>
              <w:spacing w:before="0" w:beforeLines="0" w:after="0" w:afterLines="0"/>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3</w:t>
            </w:r>
          </w:p>
        </w:tc>
        <w:tc>
          <w:tcPr>
            <w:tcW w:w="627" w:type="pct"/>
            <w:tcBorders>
              <w:top w:val="nil"/>
              <w:left w:val="nil"/>
              <w:bottom w:val="nil"/>
              <w:right w:val="single" w:color="auto" w:sz="4" w:space="0"/>
            </w:tcBorders>
            <w:shd w:val="clear" w:color="000000" w:fill="FFFFFF"/>
            <w:vAlign w:val="center"/>
          </w:tcPr>
          <w:p w14:paraId="1B1D3C62">
            <w:pPr>
              <w:widowControl/>
              <w:spacing w:before="0" w:beforeLines="0" w:after="0" w:afterLines="0"/>
              <w:rPr>
                <w:rFonts w:hint="eastAsia" w:cs="宋体" w:asciiTheme="minorEastAsia" w:hAnsiTheme="minorEastAsia" w:eastAsiaTheme="minorEastAsia"/>
                <w:kern w:val="0"/>
                <w:sz w:val="18"/>
                <w:szCs w:val="18"/>
              </w:rPr>
            </w:pPr>
          </w:p>
        </w:tc>
        <w:tc>
          <w:tcPr>
            <w:tcW w:w="632" w:type="pct"/>
            <w:tcBorders>
              <w:top w:val="nil"/>
              <w:left w:val="nil"/>
              <w:bottom w:val="nil"/>
              <w:right w:val="single" w:color="auto" w:sz="4" w:space="0"/>
            </w:tcBorders>
            <w:shd w:val="clear" w:color="000000" w:fill="FFFFFF"/>
            <w:vAlign w:val="center"/>
          </w:tcPr>
          <w:p w14:paraId="0EBFB451">
            <w:pPr>
              <w:widowControl/>
              <w:spacing w:before="0" w:beforeLines="0" w:after="0" w:afterLines="0"/>
              <w:rPr>
                <w:rFonts w:hint="eastAsia" w:cs="宋体" w:asciiTheme="minorEastAsia" w:hAnsiTheme="minorEastAsia" w:eastAsiaTheme="minorEastAsia"/>
                <w:kern w:val="0"/>
                <w:sz w:val="18"/>
                <w:szCs w:val="18"/>
              </w:rPr>
            </w:pPr>
          </w:p>
        </w:tc>
        <w:tc>
          <w:tcPr>
            <w:tcW w:w="1617" w:type="pct"/>
            <w:tcBorders>
              <w:top w:val="nil"/>
              <w:left w:val="nil"/>
              <w:bottom w:val="nil"/>
              <w:right w:val="single" w:color="auto" w:sz="4" w:space="0"/>
            </w:tcBorders>
            <w:shd w:val="clear" w:color="000000" w:fill="FFFFFF"/>
            <w:vAlign w:val="center"/>
          </w:tcPr>
          <w:p w14:paraId="6B754564">
            <w:pPr>
              <w:widowControl/>
              <w:spacing w:before="0" w:beforeLines="0" w:after="0" w:afterLines="0"/>
              <w:jc w:val="left"/>
              <w:rPr>
                <w:rFonts w:hint="eastAsia" w:cs="宋体" w:asciiTheme="minorEastAsia" w:hAnsiTheme="minorEastAsia" w:eastAsiaTheme="minorEastAsia"/>
                <w:kern w:val="0"/>
                <w:sz w:val="18"/>
                <w:szCs w:val="18"/>
              </w:rPr>
            </w:pPr>
          </w:p>
        </w:tc>
        <w:tc>
          <w:tcPr>
            <w:tcW w:w="398" w:type="pct"/>
            <w:tcBorders>
              <w:top w:val="nil"/>
              <w:left w:val="nil"/>
              <w:bottom w:val="nil"/>
              <w:right w:val="single" w:color="auto" w:sz="4" w:space="0"/>
            </w:tcBorders>
            <w:shd w:val="clear" w:color="000000" w:fill="FFFFFF"/>
            <w:noWrap/>
            <w:vAlign w:val="center"/>
          </w:tcPr>
          <w:p w14:paraId="0CF3EF7D">
            <w:pPr>
              <w:widowControl/>
              <w:spacing w:before="0" w:beforeLines="0" w:after="0" w:afterLines="0"/>
              <w:rPr>
                <w:rFonts w:hint="eastAsia" w:cs="宋体" w:asciiTheme="minorEastAsia" w:hAnsiTheme="minorEastAsia" w:eastAsiaTheme="minorEastAsia"/>
                <w:kern w:val="0"/>
                <w:sz w:val="18"/>
                <w:szCs w:val="18"/>
              </w:rPr>
            </w:pPr>
          </w:p>
        </w:tc>
        <w:tc>
          <w:tcPr>
            <w:tcW w:w="493" w:type="pct"/>
            <w:tcBorders>
              <w:top w:val="nil"/>
              <w:left w:val="nil"/>
              <w:bottom w:val="nil"/>
              <w:right w:val="single" w:color="auto" w:sz="4" w:space="0"/>
            </w:tcBorders>
            <w:shd w:val="clear" w:color="000000" w:fill="FFFFFF"/>
            <w:noWrap/>
            <w:vAlign w:val="center"/>
          </w:tcPr>
          <w:p w14:paraId="05374017">
            <w:pPr>
              <w:widowControl/>
              <w:spacing w:before="0" w:beforeLines="0" w:after="0" w:afterLines="0"/>
              <w:jc w:val="righ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 xml:space="preserve"> </w:t>
            </w:r>
          </w:p>
        </w:tc>
        <w:tc>
          <w:tcPr>
            <w:tcW w:w="389" w:type="pct"/>
            <w:tcBorders>
              <w:top w:val="nil"/>
              <w:left w:val="nil"/>
              <w:bottom w:val="nil"/>
              <w:right w:val="single" w:color="auto" w:sz="4" w:space="0"/>
            </w:tcBorders>
            <w:shd w:val="clear" w:color="000000" w:fill="FFFFFF"/>
            <w:noWrap/>
            <w:vAlign w:val="center"/>
          </w:tcPr>
          <w:p w14:paraId="33A2763E">
            <w:pPr>
              <w:widowControl/>
              <w:spacing w:before="0" w:beforeLines="0" w:after="0" w:afterLines="0"/>
              <w:jc w:val="right"/>
              <w:rPr>
                <w:rFonts w:hint="eastAsia" w:cs="宋体" w:asciiTheme="minorEastAsia" w:hAnsiTheme="minorEastAsia" w:eastAsiaTheme="minorEastAsia"/>
                <w:kern w:val="0"/>
                <w:sz w:val="18"/>
                <w:szCs w:val="18"/>
              </w:rPr>
            </w:pPr>
            <w:r>
              <w:rPr>
                <w:rFonts w:hint="eastAsia" w:cs="宋体" w:asciiTheme="minorEastAsia" w:hAnsiTheme="minorEastAsia" w:eastAsiaTheme="minorEastAsia"/>
                <w:kern w:val="0"/>
                <w:sz w:val="18"/>
                <w:szCs w:val="18"/>
              </w:rPr>
              <w:t xml:space="preserve"> </w:t>
            </w:r>
          </w:p>
        </w:tc>
        <w:tc>
          <w:tcPr>
            <w:tcW w:w="560" w:type="pct"/>
            <w:tcBorders>
              <w:top w:val="nil"/>
              <w:left w:val="nil"/>
              <w:bottom w:val="nil"/>
              <w:right w:val="single" w:color="auto" w:sz="4" w:space="0"/>
            </w:tcBorders>
            <w:shd w:val="clear" w:color="000000" w:fill="FFFFFF"/>
            <w:noWrap/>
            <w:vAlign w:val="center"/>
          </w:tcPr>
          <w:p w14:paraId="1DE5F7A9">
            <w:pPr>
              <w:widowControl/>
              <w:spacing w:before="0" w:beforeLines="0" w:after="0" w:afterLines="0"/>
              <w:jc w:val="right"/>
              <w:rPr>
                <w:rFonts w:hint="eastAsia" w:cs="宋体" w:asciiTheme="minorEastAsia" w:hAnsiTheme="minorEastAsia" w:eastAsiaTheme="minorEastAsia"/>
                <w:kern w:val="0"/>
                <w:sz w:val="18"/>
                <w:szCs w:val="18"/>
              </w:rPr>
            </w:pPr>
          </w:p>
        </w:tc>
      </w:tr>
      <w:tr w14:paraId="3C4E7221">
        <w:tblPrEx>
          <w:tblCellMar>
            <w:top w:w="0" w:type="dxa"/>
            <w:left w:w="108" w:type="dxa"/>
            <w:bottom w:w="0" w:type="dxa"/>
            <w:right w:w="108" w:type="dxa"/>
          </w:tblCellMar>
        </w:tblPrEx>
        <w:trPr>
          <w:trHeight w:val="529" w:hRule="atLeast"/>
          <w:jc w:val="center"/>
        </w:trPr>
        <w:tc>
          <w:tcPr>
            <w:tcW w:w="4050" w:type="pct"/>
            <w:gridSpan w:val="6"/>
            <w:tcBorders>
              <w:top w:val="nil"/>
              <w:left w:val="single" w:color="auto" w:sz="4" w:space="0"/>
              <w:bottom w:val="nil"/>
              <w:right w:val="single" w:color="auto" w:sz="4" w:space="0"/>
            </w:tcBorders>
            <w:shd w:val="clear" w:color="000000" w:fill="FFFFFF"/>
            <w:vAlign w:val="center"/>
          </w:tcPr>
          <w:p w14:paraId="31690AFC">
            <w:pPr>
              <w:widowControl/>
              <w:spacing w:before="0" w:beforeLines="0" w:after="0" w:afterLines="0"/>
              <w:jc w:val="center"/>
              <w:rPr>
                <w:rFonts w:hint="eastAsia" w:cs="宋体" w:asciiTheme="minorEastAsia" w:hAnsiTheme="minorEastAsia" w:eastAsiaTheme="minorEastAsia"/>
                <w:kern w:val="0"/>
                <w:sz w:val="18"/>
                <w:szCs w:val="18"/>
                <w:lang w:val="en-US" w:eastAsia="zh-CN"/>
              </w:rPr>
            </w:pPr>
            <w:r>
              <w:rPr>
                <w:rFonts w:hint="eastAsia" w:cs="宋体" w:asciiTheme="minorEastAsia" w:hAnsiTheme="minorEastAsia" w:eastAsiaTheme="minorEastAsia"/>
                <w:b/>
                <w:bCs/>
                <w:kern w:val="0"/>
                <w:sz w:val="18"/>
                <w:szCs w:val="18"/>
                <w:lang w:val="en-US" w:eastAsia="zh-CN"/>
              </w:rPr>
              <w:t>合计</w:t>
            </w:r>
          </w:p>
        </w:tc>
        <w:tc>
          <w:tcPr>
            <w:tcW w:w="949" w:type="pct"/>
            <w:gridSpan w:val="2"/>
            <w:tcBorders>
              <w:top w:val="nil"/>
              <w:left w:val="nil"/>
              <w:bottom w:val="nil"/>
              <w:right w:val="single" w:color="auto" w:sz="4" w:space="0"/>
            </w:tcBorders>
            <w:shd w:val="clear" w:color="000000" w:fill="FFFFFF"/>
            <w:noWrap/>
            <w:vAlign w:val="center"/>
          </w:tcPr>
          <w:p w14:paraId="15143E48">
            <w:pPr>
              <w:widowControl/>
              <w:spacing w:before="0" w:beforeLines="0" w:after="0" w:afterLines="0"/>
              <w:jc w:val="right"/>
              <w:rPr>
                <w:rFonts w:hint="eastAsia" w:cs="宋体" w:asciiTheme="minorEastAsia" w:hAnsiTheme="minorEastAsia" w:eastAsiaTheme="minorEastAsia"/>
                <w:kern w:val="0"/>
                <w:sz w:val="18"/>
                <w:szCs w:val="18"/>
              </w:rPr>
            </w:pPr>
          </w:p>
        </w:tc>
      </w:tr>
    </w:tbl>
    <w:p w14:paraId="28BDE3DC">
      <w:pPr>
        <w:spacing w:before="0" w:beforeLines="0" w:after="0" w:afterLines="0" w:line="360" w:lineRule="auto"/>
        <w:ind w:firstLine="420" w:firstLineChars="200"/>
        <w:jc w:val="left"/>
      </w:pPr>
      <w:r>
        <w:rPr>
          <w:rFonts w:hint="eastAsia" w:ascii="宋体" w:hAnsi="宋体"/>
          <w:szCs w:val="21"/>
        </w:rPr>
        <w:t>二、</w:t>
      </w:r>
      <w:r>
        <w:t>质量与技术标准和产品包装</w:t>
      </w:r>
    </w:p>
    <w:p w14:paraId="17DB2B9E">
      <w:pPr>
        <w:spacing w:before="0" w:beforeLines="0" w:after="0" w:afterLines="0" w:line="360" w:lineRule="auto"/>
        <w:ind w:firstLine="420" w:firstLineChars="200"/>
        <w:jc w:val="left"/>
      </w:pPr>
      <w:r>
        <w:t>1．质量与技术标准：符合中华人民共和国相关国家标准、行业标准及产品说明书的相关内容</w:t>
      </w:r>
      <w:r>
        <w:rPr>
          <w:rFonts w:hint="eastAsia"/>
        </w:rPr>
        <w:t>、甲方</w:t>
      </w:r>
      <w:r>
        <w:rPr>
          <w:shd w:val="clear" w:color="auto" w:fill="FFFFFF"/>
        </w:rPr>
        <w:t>技术协议要求</w:t>
      </w:r>
      <w:r>
        <w:t>。</w:t>
      </w:r>
    </w:p>
    <w:p w14:paraId="4E2504D2">
      <w:pPr>
        <w:spacing w:before="0" w:beforeLines="0" w:after="0" w:afterLines="0" w:line="360" w:lineRule="auto"/>
        <w:ind w:firstLine="420" w:firstLineChars="200"/>
        <w:jc w:val="left"/>
      </w:pPr>
      <w:r>
        <w:t>2．产品包装：</w:t>
      </w:r>
    </w:p>
    <w:p w14:paraId="7D36BD82">
      <w:pPr>
        <w:spacing w:before="0" w:beforeLines="0" w:after="0" w:afterLines="0" w:line="360" w:lineRule="auto"/>
        <w:ind w:firstLine="420" w:firstLineChars="200"/>
        <w:jc w:val="left"/>
      </w:pPr>
      <w:r>
        <w:t>（1）有原厂商包装的，按原厂商标准；</w:t>
      </w:r>
    </w:p>
    <w:p w14:paraId="38112089">
      <w:pPr>
        <w:spacing w:before="0" w:beforeLines="0" w:after="0" w:afterLines="0" w:line="360" w:lineRule="auto"/>
        <w:ind w:firstLine="420" w:firstLineChars="200"/>
        <w:jc w:val="left"/>
      </w:pPr>
      <w:r>
        <w:t>（2）没有原厂商包装的，按乙方包装标准进行包装。</w:t>
      </w:r>
    </w:p>
    <w:p w14:paraId="70F6BACB">
      <w:pPr>
        <w:spacing w:before="0" w:beforeLines="0" w:after="0" w:afterLines="0" w:line="360" w:lineRule="auto"/>
        <w:ind w:firstLine="420" w:firstLineChars="200"/>
        <w:jc w:val="left"/>
      </w:pPr>
      <w:r>
        <w:rPr>
          <w:rFonts w:hint="eastAsia"/>
        </w:rPr>
        <w:t>三、运输方式以及运费承担：</w:t>
      </w:r>
      <w:r>
        <w:t xml:space="preserve"> </w:t>
      </w:r>
    </w:p>
    <w:p w14:paraId="44690118">
      <w:pPr>
        <w:spacing w:before="0" w:beforeLines="0" w:after="0" w:afterLines="0" w:line="360" w:lineRule="auto"/>
        <w:ind w:firstLine="420" w:firstLineChars="200"/>
        <w:jc w:val="left"/>
      </w:pPr>
      <w:r>
        <w:rPr>
          <w:rFonts w:hint="eastAsia"/>
        </w:rPr>
        <w:t>乙方选择合适的运输方式运达收货地点，运费由乙方承担。</w:t>
      </w:r>
    </w:p>
    <w:p w14:paraId="0B5BDF99">
      <w:pPr>
        <w:spacing w:before="0" w:beforeLines="0" w:after="0" w:afterLines="0" w:line="360" w:lineRule="auto"/>
        <w:ind w:firstLine="420" w:firstLineChars="200"/>
        <w:jc w:val="left"/>
      </w:pPr>
      <w:r>
        <w:rPr>
          <w:rFonts w:hint="eastAsia"/>
        </w:rPr>
        <w:t>四、交（提）货时间、方式 、地点：</w:t>
      </w:r>
    </w:p>
    <w:p w14:paraId="37C8CB32">
      <w:pPr>
        <w:spacing w:before="0" w:beforeLines="0" w:after="0" w:afterLines="0" w:line="360" w:lineRule="auto"/>
        <w:ind w:firstLine="420" w:firstLineChars="200"/>
        <w:jc w:val="left"/>
        <w:rPr>
          <w:rFonts w:hint="default" w:ascii="Times New Roman" w:hAnsi="Times New Roman" w:eastAsia="宋体" w:cs="Times New Roman"/>
          <w:lang w:val="en-US" w:eastAsia="zh-CN"/>
        </w:rPr>
      </w:pPr>
      <w:r>
        <w:rPr>
          <w:rFonts w:hint="eastAsia"/>
        </w:rPr>
        <w:t>1、</w:t>
      </w:r>
      <w:r>
        <w:rPr>
          <w:rFonts w:hint="eastAsia"/>
          <w:lang w:val="en-US" w:eastAsia="zh-CN"/>
        </w:rPr>
        <w:t>交</w:t>
      </w:r>
      <w:r>
        <w:rPr>
          <w:rFonts w:hint="eastAsia"/>
        </w:rPr>
        <w:t>货时间：</w:t>
      </w:r>
      <w:r>
        <w:rPr>
          <w:rFonts w:hint="eastAsia"/>
          <w:lang w:val="en-US" w:eastAsia="zh-CN"/>
        </w:rPr>
        <w:t>合同签订后并收到甲方预付款后7个工作日内硬件到货并调试</w:t>
      </w:r>
      <w:r>
        <w:rPr>
          <w:rFonts w:hint="eastAsia" w:ascii="Times New Roman" w:hAnsi="Times New Roman" w:eastAsia="宋体" w:cs="Times New Roman"/>
          <w:lang w:val="en-US" w:eastAsia="zh-CN"/>
        </w:rPr>
        <w:t>，30个工作日内交付系统等级测评报告。</w:t>
      </w:r>
    </w:p>
    <w:p w14:paraId="5EB49BC0">
      <w:pPr>
        <w:spacing w:before="0" w:beforeLines="0" w:after="0" w:afterLines="0" w:line="360" w:lineRule="auto"/>
        <w:ind w:firstLine="420" w:firstLineChars="200"/>
        <w:jc w:val="left"/>
      </w:pPr>
      <w:r>
        <w:rPr>
          <w:rFonts w:hint="eastAsia"/>
        </w:rPr>
        <w:t>2、交货地点：甲方指定地点，乙方备货完成后，甲方无异议的需在</w:t>
      </w:r>
      <w:r>
        <w:rPr>
          <w:u w:val="single"/>
        </w:rPr>
        <w:t>2</w:t>
      </w:r>
      <w:r>
        <w:rPr>
          <w:rFonts w:hint="eastAsia"/>
          <w:u w:val="single"/>
          <w:lang w:eastAsia="zh-CN"/>
        </w:rPr>
        <w:t>个</w:t>
      </w:r>
      <w:r>
        <w:rPr>
          <w:rFonts w:hint="eastAsia"/>
          <w:u w:val="single"/>
        </w:rPr>
        <w:t>工作日</w:t>
      </w:r>
      <w:r>
        <w:rPr>
          <w:rFonts w:hint="eastAsia"/>
        </w:rPr>
        <w:t>内确认签收。</w:t>
      </w:r>
    </w:p>
    <w:p w14:paraId="51C80CC9">
      <w:pPr>
        <w:spacing w:before="0" w:beforeLines="0" w:after="0" w:afterLines="0" w:line="360" w:lineRule="auto"/>
        <w:ind w:firstLine="420" w:firstLineChars="200"/>
        <w:jc w:val="left"/>
      </w:pPr>
      <w:r>
        <w:rPr>
          <w:rFonts w:hint="eastAsia"/>
        </w:rPr>
        <w:t>3、甲方提出变更收货信息的，至少应于乙方发货前3个工作日书面通知乙方变更后的收货人、收货地址、签收方式等。乙方在收到前述甲方书面通知之前有权向本合同所约定的收货人交货，收货人对乙方交货行为的确认（包括但不限于签字、确认或承诺），无争议的视为甲方之行为，因甲方未及时书面通知乙方而导致交货错误等问题及损失由甲方自行承担。</w:t>
      </w:r>
    </w:p>
    <w:p w14:paraId="029F546A">
      <w:pPr>
        <w:spacing w:before="0" w:beforeLines="0" w:after="0" w:afterLines="0" w:line="360" w:lineRule="auto"/>
        <w:ind w:firstLine="420" w:firstLineChars="200"/>
        <w:jc w:val="left"/>
      </w:pPr>
      <w:r>
        <w:rPr>
          <w:rFonts w:hint="eastAsia"/>
        </w:rPr>
        <w:t>4</w:t>
      </w:r>
      <w:r>
        <w:t>、</w:t>
      </w:r>
      <w:r>
        <w:rPr>
          <w:rFonts w:hint="eastAsia"/>
        </w:rPr>
        <w:t>如果因甲方收货不及时而产生的仓储、运输费用由甲方承担</w:t>
      </w:r>
      <w:r>
        <w:t>。仓储</w:t>
      </w:r>
      <w:r>
        <w:rPr>
          <w:rFonts w:hint="eastAsia"/>
        </w:rPr>
        <w:t>、运输</w:t>
      </w:r>
      <w:r>
        <w:t>费用的计算由甲乙双方协商确定，如协商不成，按照合同金额0.2%/</w:t>
      </w:r>
      <w:r>
        <w:rPr>
          <w:rFonts w:hint="eastAsia"/>
        </w:rPr>
        <w:t>日</w:t>
      </w:r>
      <w:r>
        <w:t>计算；如</w:t>
      </w:r>
      <w:r>
        <w:rPr>
          <w:rFonts w:hint="eastAsia"/>
        </w:rPr>
        <w:t>乙方能够证明甲方对货物已到达双方约定的收货地点的情况知悉，经乙方催告甲方收货，甲方</w:t>
      </w:r>
      <w:r>
        <w:t>超出</w:t>
      </w:r>
      <w:r>
        <w:rPr>
          <w:rFonts w:hint="eastAsia"/>
        </w:rPr>
        <w:t>10</w:t>
      </w:r>
      <w:r>
        <w:t>个日历</w:t>
      </w:r>
      <w:r>
        <w:rPr>
          <w:rFonts w:hint="eastAsia"/>
        </w:rPr>
        <w:t>天</w:t>
      </w:r>
      <w:r>
        <w:t>仍拒不签收的，乙方有权终止合同，并扣除甲方前期支付的预付款项</w:t>
      </w:r>
      <w:r>
        <w:rPr>
          <w:rFonts w:hint="eastAsia"/>
        </w:rPr>
        <w:t>。</w:t>
      </w:r>
    </w:p>
    <w:p w14:paraId="35760E5F">
      <w:pPr>
        <w:spacing w:before="0" w:beforeLines="0" w:after="0" w:afterLines="0" w:line="360" w:lineRule="auto"/>
        <w:ind w:firstLine="420" w:firstLineChars="200"/>
        <w:jc w:val="left"/>
      </w:pPr>
      <w:r>
        <w:rPr>
          <w:rFonts w:hint="eastAsia"/>
        </w:rPr>
        <w:t>五、结算方式、时间:</w:t>
      </w:r>
    </w:p>
    <w:p w14:paraId="682ADC36">
      <w:pPr>
        <w:spacing w:before="0" w:beforeLines="0" w:after="0" w:afterLines="0" w:line="360" w:lineRule="auto"/>
        <w:ind w:firstLine="420" w:firstLineChars="200"/>
        <w:jc w:val="left"/>
        <w:rPr>
          <w:rFonts w:hint="eastAsia"/>
        </w:rPr>
      </w:pPr>
      <w:r>
        <w:rPr>
          <w:rFonts w:hint="eastAsia"/>
        </w:rPr>
        <w:t>合同签订后 ，达到付款条件起 15 日内，支付合同总金额的 40.00%</w:t>
      </w:r>
      <w:r>
        <w:rPr>
          <w:rFonts w:hint="eastAsia"/>
          <w:lang w:eastAsia="zh-CN"/>
        </w:rPr>
        <w:t>；</w:t>
      </w:r>
      <w:r>
        <w:rPr>
          <w:rFonts w:hint="eastAsia"/>
        </w:rPr>
        <w:t>等保评测验收通过后 ，达到付款条件起 15 日内，支付合同总金额的 20.00%</w:t>
      </w:r>
      <w:r>
        <w:rPr>
          <w:rFonts w:hint="eastAsia"/>
          <w:lang w:eastAsia="zh-CN"/>
        </w:rPr>
        <w:t>；</w:t>
      </w:r>
      <w:r>
        <w:rPr>
          <w:rFonts w:hint="eastAsia"/>
        </w:rPr>
        <w:t>全部设备到场后 ，达到付款条件起 15 日内，支付合同总金额的 40.00%。</w:t>
      </w:r>
    </w:p>
    <w:p w14:paraId="16B64033">
      <w:pPr>
        <w:pStyle w:val="20"/>
        <w:numPr>
          <w:ilvl w:val="0"/>
          <w:numId w:val="1"/>
        </w:numPr>
        <w:spacing w:before="0" w:beforeLines="0" w:after="0" w:afterLines="0" w:line="360" w:lineRule="auto"/>
        <w:jc w:val="left"/>
        <w:rPr>
          <w:rFonts w:hint="eastAsia"/>
        </w:rPr>
      </w:pPr>
      <w:r>
        <w:rPr>
          <w:rFonts w:hint="eastAsia"/>
        </w:rPr>
        <w:t>验收:</w:t>
      </w:r>
    </w:p>
    <w:p w14:paraId="64FBF7E8">
      <w:pPr>
        <w:pStyle w:val="20"/>
        <w:numPr>
          <w:numId w:val="0"/>
        </w:numPr>
        <w:spacing w:before="0" w:beforeLines="0" w:after="0" w:afterLines="0" w:line="360" w:lineRule="auto"/>
        <w:jc w:val="left"/>
        <w:rPr>
          <w:rFonts w:hint="default" w:eastAsia="宋体"/>
          <w:lang w:val="en-US" w:eastAsia="zh-CN"/>
        </w:rPr>
      </w:pPr>
      <w:r>
        <w:rPr>
          <w:rFonts w:hint="eastAsia"/>
          <w:lang w:val="en-US" w:eastAsia="zh-CN"/>
        </w:rPr>
        <w:t xml:space="preserve">    符合行业规范及甲方需求，满足项目技术要求。</w:t>
      </w:r>
    </w:p>
    <w:p w14:paraId="28232A67">
      <w:pPr>
        <w:pStyle w:val="20"/>
        <w:spacing w:before="0" w:beforeLines="0" w:after="0" w:afterLines="0" w:line="360" w:lineRule="auto"/>
        <w:jc w:val="left"/>
      </w:pPr>
      <w:r>
        <w:rPr>
          <w:rFonts w:hint="eastAsia"/>
        </w:rPr>
        <w:t>七、</w:t>
      </w:r>
      <w:r>
        <w:t>违约条款</w:t>
      </w:r>
    </w:p>
    <w:p w14:paraId="28134A21">
      <w:pPr>
        <w:pStyle w:val="20"/>
        <w:spacing w:before="0" w:beforeLines="0" w:after="0" w:afterLines="0" w:line="360" w:lineRule="auto"/>
        <w:jc w:val="left"/>
      </w:pPr>
      <w:r>
        <w:rPr>
          <w:rFonts w:hint="eastAsia"/>
          <w:lang w:val="en-US" w:eastAsia="zh-CN"/>
        </w:rPr>
        <w:t>1</w:t>
      </w:r>
      <w:r>
        <w:rPr>
          <w:rFonts w:hint="eastAsia"/>
        </w:rPr>
        <w:t>．乙方对其交付产品的质量承担保证责任，因产品生产工艺或材料缺陷等原因发生质量问题的，由乙方按照本合同总金额的20%向甲方承担违约责任，除此之外乙方还应赔偿由此给甲方、第三人造成的全部损失。</w:t>
      </w:r>
    </w:p>
    <w:p w14:paraId="7AC6C6A6">
      <w:pPr>
        <w:pStyle w:val="20"/>
        <w:spacing w:before="0" w:beforeLines="0" w:after="0" w:afterLines="0" w:line="360" w:lineRule="auto"/>
        <w:jc w:val="left"/>
      </w:pPr>
      <w:r>
        <w:rPr>
          <w:rFonts w:hint="eastAsia"/>
          <w:lang w:val="en-US" w:eastAsia="zh-CN"/>
        </w:rPr>
        <w:t>2.</w:t>
      </w:r>
      <w:r>
        <w:rPr>
          <w:rFonts w:hint="eastAsia"/>
        </w:rPr>
        <w:t>乙方应当保证有权销售本合同的所有产品，不会因此侵犯到第三人的所有权、知识产权等一切权利，也未对产品设置任何负担。因乙方违反本款约定产生纠纷的，由乙方负责解决并向甲方支付本合同总金额20%的违约金，违约金不足以赔偿损失的，乙方还应承担由此给甲方造成的全部损失。</w:t>
      </w:r>
    </w:p>
    <w:p w14:paraId="36BFC0CC">
      <w:pPr>
        <w:pStyle w:val="20"/>
        <w:spacing w:before="0" w:beforeLines="0" w:after="0" w:afterLines="0" w:line="360" w:lineRule="auto"/>
        <w:jc w:val="left"/>
      </w:pPr>
      <w:r>
        <w:rPr>
          <w:rFonts w:hint="eastAsia"/>
          <w:lang w:val="en-US" w:eastAsia="zh-CN"/>
        </w:rPr>
        <w:t>3</w:t>
      </w:r>
      <w:r>
        <w:rPr>
          <w:rFonts w:hint="eastAsia"/>
        </w:rPr>
        <w:t>. 本合同签订及履行过程中，未经甲方书面同意，乙方不得将本合同的权利义务以任何方式转让给第三人（第三人包括但不限于乙方的分公司、子公司及其他关联方），否则甲方有权选择单方解除本合同并要求乙方支付合同金额20%的违约金，违约金不足以赔偿给甲方造成损失的，甲方仍有权向乙方进行追偿。</w:t>
      </w:r>
    </w:p>
    <w:p w14:paraId="75541A90">
      <w:pPr>
        <w:pStyle w:val="20"/>
        <w:spacing w:before="0" w:beforeLines="0" w:after="0" w:afterLines="0" w:line="360" w:lineRule="auto"/>
        <w:jc w:val="left"/>
      </w:pPr>
      <w:r>
        <w:rPr>
          <w:rFonts w:hint="eastAsia"/>
          <w:lang w:val="en-US" w:eastAsia="zh-CN"/>
        </w:rPr>
        <w:t>4</w:t>
      </w:r>
      <w:r>
        <w:rPr>
          <w:rFonts w:hint="eastAsia"/>
        </w:rPr>
        <w:t xml:space="preserve">. </w:t>
      </w:r>
      <w:r>
        <w:t>甲</w:t>
      </w:r>
      <w:r>
        <w:rPr>
          <w:rFonts w:hint="eastAsia"/>
        </w:rPr>
        <w:t>乙双</w:t>
      </w:r>
      <w:r>
        <w:t>方未能按照本合同约定履行合同</w:t>
      </w:r>
      <w:r>
        <w:rPr>
          <w:rFonts w:hint="eastAsia"/>
        </w:rPr>
        <w:t>项下的</w:t>
      </w:r>
      <w:r>
        <w:t>义务的，</w:t>
      </w:r>
      <w:r>
        <w:rPr>
          <w:rFonts w:hint="eastAsia"/>
        </w:rPr>
        <w:t>违约方</w:t>
      </w:r>
      <w:r>
        <w:t>除</w:t>
      </w:r>
      <w:r>
        <w:rPr>
          <w:rFonts w:hint="eastAsia"/>
        </w:rPr>
        <w:t>应</w:t>
      </w:r>
      <w:r>
        <w:t>按照本合同向</w:t>
      </w:r>
      <w:r>
        <w:rPr>
          <w:rFonts w:hint="eastAsia"/>
        </w:rPr>
        <w:t>守约</w:t>
      </w:r>
      <w:r>
        <w:t>方承担相关责任之外，还应承担</w:t>
      </w:r>
      <w:r>
        <w:rPr>
          <w:rFonts w:hint="eastAsia"/>
        </w:rPr>
        <w:t>守约方</w:t>
      </w:r>
      <w:r>
        <w:t xml:space="preserve">因此而遭受的任何可预期的间接损失及其他合理的费用，包括但不限于律师费用、诉讼及仲裁费用、公证费、差旅费、保全费、诉讼保全担保保险费等其他实现债权的费用。 </w:t>
      </w:r>
    </w:p>
    <w:p w14:paraId="62649B42">
      <w:pPr>
        <w:pStyle w:val="20"/>
        <w:spacing w:before="0" w:beforeLines="0" w:after="0" w:afterLines="0" w:line="360" w:lineRule="auto"/>
        <w:jc w:val="left"/>
      </w:pPr>
      <w:r>
        <w:rPr>
          <w:rFonts w:hint="eastAsia"/>
          <w:lang w:eastAsia="zh-CN"/>
        </w:rPr>
        <w:t>八</w:t>
      </w:r>
      <w:r>
        <w:t xml:space="preserve">、保密 </w:t>
      </w:r>
    </w:p>
    <w:p w14:paraId="48A51715">
      <w:pPr>
        <w:pStyle w:val="20"/>
        <w:spacing w:before="0" w:beforeLines="0" w:after="0" w:afterLines="0" w:line="360" w:lineRule="auto"/>
        <w:jc w:val="left"/>
      </w:pPr>
      <w:r>
        <w:t>买卖双方对本合同以及在本合同签订、履行过程中知悉的对方资料和信息等，除该方作出相反的书面说明外，均应视为该方的商业秘密，未经该方书面同意不得向任何第三方泄露。任何一方因违反保密义务而给另一方造成损失的应负相应的赔偿责任。无论本合同是否解除或终止</w:t>
      </w:r>
      <w:r>
        <w:rPr>
          <w:rFonts w:hint="eastAsia"/>
        </w:rPr>
        <w:t>，</w:t>
      </w:r>
      <w:r>
        <w:t xml:space="preserve">本条款持续有效。 </w:t>
      </w:r>
    </w:p>
    <w:p w14:paraId="007364E3">
      <w:pPr>
        <w:pStyle w:val="20"/>
        <w:spacing w:before="0" w:beforeLines="0" w:after="0" w:afterLines="0" w:line="360" w:lineRule="auto"/>
        <w:jc w:val="left"/>
      </w:pPr>
      <w:r>
        <w:rPr>
          <w:rFonts w:hint="eastAsia"/>
          <w:lang w:eastAsia="zh-CN"/>
        </w:rPr>
        <w:t>九</w:t>
      </w:r>
      <w:r>
        <w:t xml:space="preserve">、不可抗力及免责条款 </w:t>
      </w:r>
    </w:p>
    <w:p w14:paraId="65F20D4A">
      <w:pPr>
        <w:pStyle w:val="20"/>
        <w:spacing w:before="0" w:beforeLines="0" w:after="0" w:afterLines="0" w:line="360" w:lineRule="auto"/>
        <w:jc w:val="left"/>
      </w:pPr>
      <w:r>
        <w:t>本合同中</w:t>
      </w:r>
      <w:r>
        <w:rPr>
          <w:rFonts w:hint="eastAsia"/>
        </w:rPr>
        <w:t>，</w:t>
      </w:r>
      <w:r>
        <w:t>不可抗力是指不能预见、不能避免并不能克服的客观情况，包括：战争、火灾、洪水、台风、地震、 较大面积传播的突发性传染性疾病、政策变化或其它人力不可抗拒之事件。不可抗力因素可能出现在产品制造、运输、仓储或交付过程中，出现上述不可抗力的一方及时通知另一方后，就不可抗力造成的违约不承担任何责任。</w:t>
      </w:r>
    </w:p>
    <w:p w14:paraId="4DF42F2B">
      <w:pPr>
        <w:pStyle w:val="20"/>
        <w:spacing w:before="0" w:beforeLines="0" w:after="0" w:afterLines="0" w:line="360" w:lineRule="auto"/>
        <w:jc w:val="left"/>
      </w:pPr>
      <w:r>
        <w:t xml:space="preserve"> 十、争议解决方式</w:t>
      </w:r>
    </w:p>
    <w:p w14:paraId="2BC27371">
      <w:pPr>
        <w:pStyle w:val="20"/>
        <w:spacing w:before="0" w:beforeLines="0" w:after="0" w:afterLines="0" w:line="360" w:lineRule="auto"/>
        <w:jc w:val="left"/>
      </w:pPr>
      <w:r>
        <w:t xml:space="preserve"> 1．因本合同的签署、解释、履行产生争议时，双方应先协商解决；协商不成时，任意一方均可向</w:t>
      </w:r>
      <w:r>
        <w:rPr>
          <w:rFonts w:hint="eastAsia"/>
        </w:rPr>
        <w:t>甲方所在地</w:t>
      </w:r>
      <w:r>
        <w:t>有管辖权的人民法院提起诉讼。</w:t>
      </w:r>
    </w:p>
    <w:p w14:paraId="5DD38254">
      <w:pPr>
        <w:pStyle w:val="20"/>
        <w:spacing w:before="0" w:beforeLines="0" w:after="0" w:afterLines="0" w:line="360" w:lineRule="auto"/>
        <w:jc w:val="left"/>
      </w:pPr>
      <w:r>
        <w:t>在诉讼期间，本合同中不涉及争议的条款仍须履行。</w:t>
      </w:r>
    </w:p>
    <w:p w14:paraId="163BA6E9">
      <w:pPr>
        <w:pStyle w:val="20"/>
        <w:spacing w:before="0" w:beforeLines="0" w:after="0" w:afterLines="0" w:line="360" w:lineRule="auto"/>
        <w:jc w:val="left"/>
      </w:pPr>
      <w:r>
        <w:t xml:space="preserve">2．因本合同的签署、解释、履行以及争议的解决等事项均适用中华人民共和国法律。 </w:t>
      </w:r>
    </w:p>
    <w:p w14:paraId="097EFCAF">
      <w:pPr>
        <w:pStyle w:val="20"/>
        <w:spacing w:before="0" w:beforeLines="0" w:after="0" w:afterLines="0" w:line="360" w:lineRule="auto"/>
        <w:jc w:val="left"/>
      </w:pPr>
      <w:r>
        <w:t>十三、合同效力、变更、解除</w:t>
      </w:r>
    </w:p>
    <w:p w14:paraId="67B0765A">
      <w:pPr>
        <w:pStyle w:val="20"/>
        <w:spacing w:before="0" w:beforeLines="0" w:after="0" w:afterLines="0" w:line="360" w:lineRule="auto"/>
        <w:jc w:val="left"/>
      </w:pPr>
      <w:r>
        <w:t xml:space="preserve"> 1.本合同自双方盖章之日起生效。本合同一式【</w:t>
      </w:r>
      <w:r>
        <w:rPr>
          <w:rFonts w:hint="eastAsia"/>
        </w:rPr>
        <w:t>肆</w:t>
      </w:r>
      <w:r>
        <w:t>】份，双方各执【</w:t>
      </w:r>
      <w:r>
        <w:rPr>
          <w:rFonts w:hint="eastAsia"/>
        </w:rPr>
        <w:t>贰</w:t>
      </w:r>
      <w:r>
        <w:t>】份，具有同等法律效力。本合同及其附件构成双方之间就本合同项下之合作所达成的全部意思表示，并替代双方以前或执行本合同过程中所做的任何口头交流、电子邮件或声明 。</w:t>
      </w:r>
    </w:p>
    <w:p w14:paraId="77B93E0C">
      <w:pPr>
        <w:pStyle w:val="20"/>
        <w:spacing w:before="0" w:beforeLines="0" w:after="0" w:afterLines="0" w:line="360" w:lineRule="auto"/>
        <w:jc w:val="left"/>
      </w:pPr>
      <w:r>
        <w:t>2．本合同系双方当事人反复讨论协商一致的结果，各方充分理解合同内容，意思表示真实、有效。本合同不属于任何一方提供的制式文本</w:t>
      </w:r>
      <w:r>
        <w:rPr>
          <w:rFonts w:hint="eastAsia"/>
        </w:rPr>
        <w:t>，</w:t>
      </w:r>
      <w:r>
        <w:t xml:space="preserve">所有条款不属于格式条款，即使存在或可能被认定为一方的制式文本或格式条款的情形，另一方在此声明放弃以此抗辩的权利。 </w:t>
      </w:r>
    </w:p>
    <w:p w14:paraId="188E4D05">
      <w:pPr>
        <w:pStyle w:val="20"/>
      </w:pPr>
      <w:r>
        <w:t>（以下无正文）</w:t>
      </w:r>
    </w:p>
    <w:p w14:paraId="262D79A2">
      <w:pPr>
        <w:widowControl/>
        <w:spacing w:before="0" w:beforeLines="0" w:after="0" w:afterLines="0"/>
        <w:jc w:val="left"/>
      </w:pPr>
      <w:r>
        <w:br w:type="page"/>
      </w:r>
    </w:p>
    <w:tbl>
      <w:tblPr>
        <w:tblStyle w:val="9"/>
        <w:tblW w:w="964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718"/>
        <w:gridCol w:w="4926"/>
      </w:tblGrid>
      <w:tr w14:paraId="4A48B2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8" w:hRule="atLeast"/>
          <w:jc w:val="center"/>
        </w:trPr>
        <w:tc>
          <w:tcPr>
            <w:tcW w:w="4718" w:type="dxa"/>
            <w:tcBorders>
              <w:top w:val="single" w:color="auto" w:sz="4" w:space="0"/>
              <w:left w:val="single" w:color="auto" w:sz="4" w:space="0"/>
              <w:bottom w:val="single" w:color="auto" w:sz="4" w:space="0"/>
              <w:right w:val="single" w:color="auto" w:sz="4" w:space="0"/>
            </w:tcBorders>
          </w:tcPr>
          <w:p w14:paraId="485C934C">
            <w:pPr>
              <w:spacing w:before="0" w:beforeLines="0" w:after="0" w:afterLines="0" w:line="360" w:lineRule="auto"/>
              <w:jc w:val="left"/>
            </w:pPr>
            <w:r>
              <w:br w:type="page"/>
            </w:r>
            <w:r>
              <w:rPr>
                <w:rFonts w:hint="eastAsia"/>
              </w:rPr>
              <w:t>甲    方：（盖 章）</w:t>
            </w:r>
          </w:p>
          <w:p w14:paraId="228BB529">
            <w:pPr>
              <w:spacing w:before="0" w:beforeLines="0" w:after="0" w:afterLines="0" w:line="360" w:lineRule="auto"/>
              <w:jc w:val="left"/>
            </w:pPr>
            <w:r>
              <w:rPr>
                <w:rFonts w:hint="eastAsia"/>
              </w:rPr>
              <w:t>法定代表人：</w:t>
            </w:r>
          </w:p>
          <w:p w14:paraId="0E04CFCA">
            <w:pPr>
              <w:spacing w:before="0" w:beforeLines="0" w:after="0" w:afterLines="0" w:line="360" w:lineRule="auto"/>
              <w:jc w:val="left"/>
            </w:pPr>
            <w:r>
              <w:rPr>
                <w:rFonts w:hint="eastAsia"/>
              </w:rPr>
              <w:t xml:space="preserve">委托代理人： </w:t>
            </w:r>
          </w:p>
          <w:p w14:paraId="299F747B">
            <w:pPr>
              <w:spacing w:before="0" w:beforeLines="0" w:after="0" w:afterLines="0" w:line="360" w:lineRule="auto"/>
              <w:jc w:val="left"/>
              <w:rPr>
                <w:rFonts w:hint="eastAsia"/>
              </w:rPr>
            </w:pPr>
            <w:r>
              <w:rPr>
                <w:rFonts w:hint="eastAsia"/>
              </w:rPr>
              <w:t>单位地址：</w:t>
            </w:r>
          </w:p>
          <w:p w14:paraId="78952807">
            <w:pPr>
              <w:spacing w:before="0" w:beforeLines="0" w:after="0" w:afterLines="0" w:line="360" w:lineRule="auto"/>
              <w:jc w:val="left"/>
              <w:rPr>
                <w:rFonts w:hint="eastAsia"/>
              </w:rPr>
            </w:pPr>
            <w:r>
              <w:rPr>
                <w:rFonts w:hint="eastAsia"/>
              </w:rPr>
              <w:t>电话：</w:t>
            </w:r>
          </w:p>
          <w:p w14:paraId="6FA5EF9A">
            <w:pPr>
              <w:spacing w:before="0" w:beforeLines="0" w:after="0" w:afterLines="0" w:line="360" w:lineRule="auto"/>
              <w:jc w:val="left"/>
            </w:pPr>
            <w:r>
              <w:rPr>
                <w:rFonts w:hint="eastAsia"/>
              </w:rPr>
              <w:t xml:space="preserve">传真： </w:t>
            </w:r>
          </w:p>
          <w:p w14:paraId="4C8565AA">
            <w:pPr>
              <w:spacing w:before="0" w:beforeLines="0" w:after="0" w:afterLines="0" w:line="360" w:lineRule="auto"/>
              <w:jc w:val="left"/>
            </w:pPr>
            <w:r>
              <w:rPr>
                <w:rFonts w:hint="eastAsia"/>
              </w:rPr>
              <w:t>开户银行：</w:t>
            </w:r>
          </w:p>
          <w:p w14:paraId="195F6E27">
            <w:pPr>
              <w:spacing w:before="0" w:beforeLines="0" w:after="0" w:afterLines="0" w:line="360" w:lineRule="auto"/>
              <w:jc w:val="left"/>
              <w:rPr>
                <w:rFonts w:hint="eastAsia"/>
              </w:rPr>
            </w:pPr>
            <w:r>
              <w:rPr>
                <w:rFonts w:hint="eastAsia"/>
              </w:rPr>
              <w:t>账号：</w:t>
            </w:r>
          </w:p>
          <w:p w14:paraId="14056F61">
            <w:pPr>
              <w:spacing w:before="0" w:beforeLines="0" w:after="0" w:afterLines="0" w:line="360" w:lineRule="auto"/>
              <w:jc w:val="left"/>
            </w:pPr>
            <w:r>
              <w:rPr>
                <w:rFonts w:hint="eastAsia"/>
              </w:rPr>
              <w:t>税号：</w:t>
            </w:r>
          </w:p>
          <w:p w14:paraId="2F8E86B9">
            <w:pPr>
              <w:spacing w:before="0" w:beforeLines="0" w:after="0" w:afterLines="0" w:line="360" w:lineRule="auto"/>
              <w:jc w:val="left"/>
            </w:pPr>
            <w:r>
              <w:rPr>
                <w:rFonts w:hint="eastAsia"/>
              </w:rPr>
              <w:t>日期：    年</w:t>
            </w:r>
            <w:r>
              <w:t xml:space="preserve">  </w:t>
            </w:r>
            <w:r>
              <w:rPr>
                <w:rFonts w:hint="eastAsia"/>
              </w:rPr>
              <w:t xml:space="preserve"> 月</w:t>
            </w:r>
            <w:r>
              <w:t xml:space="preserve">  </w:t>
            </w:r>
            <w:r>
              <w:rPr>
                <w:rFonts w:hint="eastAsia"/>
              </w:rPr>
              <w:t xml:space="preserve"> 日</w:t>
            </w:r>
          </w:p>
        </w:tc>
        <w:tc>
          <w:tcPr>
            <w:tcW w:w="4926" w:type="dxa"/>
            <w:tcBorders>
              <w:top w:val="single" w:color="auto" w:sz="4" w:space="0"/>
              <w:left w:val="single" w:color="auto" w:sz="4" w:space="0"/>
              <w:bottom w:val="single" w:color="auto" w:sz="4" w:space="0"/>
              <w:right w:val="single" w:color="auto" w:sz="4" w:space="0"/>
            </w:tcBorders>
          </w:tcPr>
          <w:p w14:paraId="0864DBAE">
            <w:pPr>
              <w:spacing w:before="0" w:beforeLines="0" w:after="0" w:afterLines="0" w:line="360" w:lineRule="auto"/>
              <w:jc w:val="left"/>
            </w:pPr>
            <w:r>
              <w:rPr>
                <w:rFonts w:hint="eastAsia"/>
                <w:bCs/>
              </w:rPr>
              <w:t>乙    方：</w:t>
            </w:r>
            <w:r>
              <w:rPr>
                <w:rFonts w:hint="eastAsia"/>
              </w:rPr>
              <w:t>（盖 章）</w:t>
            </w:r>
          </w:p>
          <w:p w14:paraId="33FEC4A5">
            <w:pPr>
              <w:spacing w:before="0" w:beforeLines="0" w:after="0" w:afterLines="0" w:line="360" w:lineRule="auto"/>
              <w:jc w:val="left"/>
              <w:rPr>
                <w:rFonts w:hint="eastAsia"/>
              </w:rPr>
            </w:pPr>
            <w:r>
              <w:rPr>
                <w:rFonts w:hint="eastAsia"/>
              </w:rPr>
              <w:t>法定代表人：</w:t>
            </w:r>
          </w:p>
          <w:p w14:paraId="4B5408A6">
            <w:pPr>
              <w:spacing w:before="0" w:beforeLines="0" w:after="0" w:afterLines="0" w:line="360" w:lineRule="auto"/>
              <w:jc w:val="left"/>
            </w:pPr>
            <w:r>
              <w:rPr>
                <w:rFonts w:hint="eastAsia"/>
              </w:rPr>
              <w:t>委托代理人：</w:t>
            </w:r>
          </w:p>
          <w:p w14:paraId="102BD8EA">
            <w:pPr>
              <w:spacing w:before="0" w:beforeLines="0" w:after="0" w:afterLines="0" w:line="360" w:lineRule="auto"/>
              <w:jc w:val="left"/>
              <w:rPr>
                <w:rFonts w:hint="eastAsia"/>
              </w:rPr>
            </w:pPr>
            <w:r>
              <w:rPr>
                <w:rFonts w:hint="eastAsia"/>
              </w:rPr>
              <w:t>单位地址：</w:t>
            </w:r>
          </w:p>
          <w:p w14:paraId="3A2261A5">
            <w:pPr>
              <w:spacing w:before="0" w:beforeLines="0" w:after="0" w:afterLines="0" w:line="360" w:lineRule="auto"/>
              <w:jc w:val="left"/>
            </w:pPr>
            <w:r>
              <w:rPr>
                <w:rFonts w:hint="eastAsia"/>
              </w:rPr>
              <w:t>电话：</w:t>
            </w:r>
          </w:p>
          <w:p w14:paraId="5408D6C6">
            <w:pPr>
              <w:spacing w:before="0" w:beforeLines="0" w:after="0" w:afterLines="0" w:line="360" w:lineRule="auto"/>
              <w:jc w:val="left"/>
            </w:pPr>
            <w:r>
              <w:rPr>
                <w:rFonts w:hint="eastAsia"/>
              </w:rPr>
              <w:t>传真：</w:t>
            </w:r>
          </w:p>
          <w:p w14:paraId="761D3928">
            <w:pPr>
              <w:spacing w:before="0" w:beforeLines="0" w:after="0" w:afterLines="0" w:line="360" w:lineRule="auto"/>
              <w:jc w:val="left"/>
            </w:pPr>
            <w:r>
              <w:rPr>
                <w:rFonts w:hint="eastAsia"/>
              </w:rPr>
              <w:t>开户银行：</w:t>
            </w:r>
          </w:p>
          <w:p w14:paraId="40F12DAC">
            <w:pPr>
              <w:spacing w:before="0" w:beforeLines="0" w:after="0" w:afterLines="0" w:line="360" w:lineRule="auto"/>
              <w:jc w:val="left"/>
              <w:rPr>
                <w:rFonts w:hint="eastAsia"/>
              </w:rPr>
            </w:pPr>
            <w:r>
              <w:rPr>
                <w:rFonts w:hint="eastAsia"/>
              </w:rPr>
              <w:t>账号：</w:t>
            </w:r>
          </w:p>
          <w:p w14:paraId="16CD6772">
            <w:pPr>
              <w:spacing w:before="0" w:beforeLines="0" w:after="0" w:afterLines="0" w:line="360" w:lineRule="auto"/>
              <w:jc w:val="left"/>
            </w:pPr>
            <w:r>
              <w:rPr>
                <w:rFonts w:hint="eastAsia"/>
              </w:rPr>
              <w:t>税号：</w:t>
            </w:r>
          </w:p>
          <w:p w14:paraId="61065070">
            <w:pPr>
              <w:spacing w:before="0" w:beforeLines="0" w:after="0" w:afterLines="0" w:line="360" w:lineRule="auto"/>
              <w:jc w:val="left"/>
            </w:pPr>
            <w:r>
              <w:rPr>
                <w:rFonts w:hint="eastAsia"/>
              </w:rPr>
              <w:t>日期：    年</w:t>
            </w:r>
            <w:r>
              <w:t xml:space="preserve">  </w:t>
            </w:r>
            <w:r>
              <w:rPr>
                <w:rFonts w:hint="eastAsia"/>
              </w:rPr>
              <w:t xml:space="preserve"> 月</w:t>
            </w:r>
            <w:r>
              <w:t xml:space="preserve"> </w:t>
            </w:r>
            <w:r>
              <w:rPr>
                <w:rFonts w:hint="eastAsia"/>
              </w:rPr>
              <w:t xml:space="preserve"> </w:t>
            </w:r>
            <w:r>
              <w:t xml:space="preserve"> </w:t>
            </w:r>
            <w:r>
              <w:rPr>
                <w:rFonts w:hint="eastAsia"/>
              </w:rPr>
              <w:t>日</w:t>
            </w:r>
            <w:r>
              <w:tab/>
            </w:r>
          </w:p>
        </w:tc>
      </w:tr>
    </w:tbl>
    <w:p w14:paraId="61EA373B">
      <w:pPr>
        <w:rPr>
          <w:rFonts w:ascii="宋体"/>
          <w:szCs w:val="21"/>
        </w:rPr>
      </w:pPr>
      <w:r>
        <w:rPr>
          <w:rFonts w:hint="eastAsia"/>
        </w:rPr>
        <w:t>（以下</w:t>
      </w:r>
      <w:r>
        <w:t>无</w:t>
      </w:r>
      <w:r>
        <w:rPr>
          <w:rFonts w:hint="eastAsia"/>
        </w:rPr>
        <w:t>附件）</w:t>
      </w:r>
    </w:p>
    <w:sectPr>
      <w:headerReference r:id="rId6" w:type="first"/>
      <w:headerReference r:id="rId4" w:type="default"/>
      <w:footerReference r:id="rId7" w:type="default"/>
      <w:headerReference r:id="rId5" w:type="even"/>
      <w:footerReference r:id="rId8" w:type="even"/>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3090033"/>
    </w:sdtPr>
    <w:sdtContent>
      <w:sdt>
        <w:sdtPr>
          <w:id w:val="-1705238520"/>
        </w:sdtPr>
        <w:sdtContent>
          <w:p w14:paraId="2E3E2CA1">
            <w:pPr>
              <w:pStyle w:val="5"/>
              <w:ind w:firstLine="360"/>
            </w:pPr>
            <w:r>
              <w:rPr>
                <w:lang w:val="zh-CN"/>
              </w:rPr>
              <w:t xml:space="preserve"> </w:t>
            </w:r>
            <w:r>
              <w:rPr>
                <w:sz w:val="24"/>
                <w:szCs w:val="24"/>
              </w:rPr>
              <w:fldChar w:fldCharType="begin"/>
            </w:r>
            <w:r>
              <w:instrText xml:space="preserve">PAGE</w:instrText>
            </w:r>
            <w:r>
              <w:rPr>
                <w:sz w:val="24"/>
                <w:szCs w:val="24"/>
              </w:rPr>
              <w:fldChar w:fldCharType="separate"/>
            </w:r>
            <w:r>
              <w:t>5</w:t>
            </w:r>
            <w:r>
              <w:rPr>
                <w:sz w:val="24"/>
                <w:szCs w:val="24"/>
              </w:rPr>
              <w:fldChar w:fldCharType="end"/>
            </w:r>
            <w:r>
              <w:rPr>
                <w:lang w:val="zh-CN"/>
              </w:rPr>
              <w:t xml:space="preserve"> / </w:t>
            </w:r>
            <w:r>
              <w:rPr>
                <w:sz w:val="24"/>
                <w:szCs w:val="24"/>
              </w:rPr>
              <w:fldChar w:fldCharType="begin"/>
            </w:r>
            <w:r>
              <w:instrText xml:space="preserve">NUMPAGES</w:instrText>
            </w:r>
            <w:r>
              <w:rPr>
                <w:sz w:val="24"/>
                <w:szCs w:val="24"/>
              </w:rPr>
              <w:fldChar w:fldCharType="separate"/>
            </w:r>
            <w:r>
              <w:t>7</w:t>
            </w:r>
            <w:r>
              <w:rPr>
                <w:sz w:val="24"/>
                <w:szCs w:val="24"/>
              </w:rPr>
              <w:fldChar w:fldCharType="end"/>
            </w:r>
          </w:p>
        </w:sdtContent>
      </w:sdt>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D05371">
    <w:pPr>
      <w:pStyle w:val="5"/>
      <w:ind w:firstLine="420"/>
    </w:pPr>
  </w:p>
  <w:p w14:paraId="701DE925">
    <w:pPr>
      <w:spacing w:before="120" w:after="120"/>
    </w:pPr>
  </w:p>
  <w:p w14:paraId="46861B24">
    <w:pPr>
      <w:spacing w:before="120" w:after="120"/>
    </w:pPr>
  </w:p>
  <w:p w14:paraId="21CC00BB">
    <w:pPr>
      <w:spacing w:before="120" w:after="12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0F718E">
    <w:pPr>
      <w:spacing w:before="120" w:after="1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C17F2B">
    <w:pPr>
      <w:pStyle w:val="6"/>
      <w:spacing w:before="120" w:after="120"/>
      <w:ind w:firstLine="420"/>
    </w:pPr>
  </w:p>
  <w:p w14:paraId="08386A58">
    <w:pPr>
      <w:spacing w:before="120" w:after="120"/>
    </w:pPr>
  </w:p>
  <w:p w14:paraId="77545DA6">
    <w:pPr>
      <w:spacing w:before="120" w:after="120"/>
    </w:pPr>
  </w:p>
  <w:p w14:paraId="7A99A588">
    <w:pPr>
      <w:spacing w:before="120" w:after="12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D1279B">
    <w:pPr>
      <w:pStyle w:val="6"/>
      <w:spacing w:before="120" w:after="12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0842F3"/>
    <w:multiLevelType w:val="singleLevel"/>
    <w:tmpl w:val="830842F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doNotValidateAgainstSchema/>
  <w:doNotDemarcateInvalidXml/>
  <w:footnotePr>
    <w:footnote w:id="0"/>
    <w:footnote w:id="1"/>
  </w:footnotePr>
  <w:compat>
    <w:spaceForUL/>
    <w:balanceSingleByteDoubleByteWidth/>
    <w:doNotLeaveBackslashAlon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MyNTA1ZGRmNDkxMjkwMTc5OGExZjliMDY0NWFjODgifQ=="/>
  </w:docVars>
  <w:rsids>
    <w:rsidRoot w:val="0012257B"/>
    <w:rsid w:val="00031789"/>
    <w:rsid w:val="00044AB1"/>
    <w:rsid w:val="00046558"/>
    <w:rsid w:val="00057448"/>
    <w:rsid w:val="00062394"/>
    <w:rsid w:val="00063904"/>
    <w:rsid w:val="00090720"/>
    <w:rsid w:val="00097682"/>
    <w:rsid w:val="000E3B20"/>
    <w:rsid w:val="000F0D96"/>
    <w:rsid w:val="00120279"/>
    <w:rsid w:val="0012257B"/>
    <w:rsid w:val="001249A0"/>
    <w:rsid w:val="00130FC8"/>
    <w:rsid w:val="00140767"/>
    <w:rsid w:val="00145785"/>
    <w:rsid w:val="00164154"/>
    <w:rsid w:val="0018030C"/>
    <w:rsid w:val="0018598F"/>
    <w:rsid w:val="00196285"/>
    <w:rsid w:val="001A4DCA"/>
    <w:rsid w:val="001B1C81"/>
    <w:rsid w:val="001C2F07"/>
    <w:rsid w:val="001D08FA"/>
    <w:rsid w:val="001D340C"/>
    <w:rsid w:val="001F1AF9"/>
    <w:rsid w:val="0020185E"/>
    <w:rsid w:val="00224163"/>
    <w:rsid w:val="0024351F"/>
    <w:rsid w:val="00263663"/>
    <w:rsid w:val="00285F9C"/>
    <w:rsid w:val="00297A89"/>
    <w:rsid w:val="002E2C93"/>
    <w:rsid w:val="00313561"/>
    <w:rsid w:val="00314BC3"/>
    <w:rsid w:val="00340CDB"/>
    <w:rsid w:val="003451D9"/>
    <w:rsid w:val="00374DA0"/>
    <w:rsid w:val="003905DD"/>
    <w:rsid w:val="003A37F3"/>
    <w:rsid w:val="003B2D71"/>
    <w:rsid w:val="003D6E54"/>
    <w:rsid w:val="003F5BA8"/>
    <w:rsid w:val="0040511A"/>
    <w:rsid w:val="0042228E"/>
    <w:rsid w:val="004370C8"/>
    <w:rsid w:val="004478E8"/>
    <w:rsid w:val="0045171C"/>
    <w:rsid w:val="004669B5"/>
    <w:rsid w:val="00496A38"/>
    <w:rsid w:val="00497515"/>
    <w:rsid w:val="004D240C"/>
    <w:rsid w:val="004E2DF2"/>
    <w:rsid w:val="004F6321"/>
    <w:rsid w:val="004F78C9"/>
    <w:rsid w:val="005212EB"/>
    <w:rsid w:val="005440D3"/>
    <w:rsid w:val="005603DE"/>
    <w:rsid w:val="00594B4B"/>
    <w:rsid w:val="005A5FE2"/>
    <w:rsid w:val="005E67F0"/>
    <w:rsid w:val="005F4E87"/>
    <w:rsid w:val="00610174"/>
    <w:rsid w:val="006316C3"/>
    <w:rsid w:val="006406DF"/>
    <w:rsid w:val="00644548"/>
    <w:rsid w:val="00651865"/>
    <w:rsid w:val="00667A60"/>
    <w:rsid w:val="006864CB"/>
    <w:rsid w:val="00690302"/>
    <w:rsid w:val="00693F25"/>
    <w:rsid w:val="006B008E"/>
    <w:rsid w:val="006B035C"/>
    <w:rsid w:val="006B5994"/>
    <w:rsid w:val="006F6510"/>
    <w:rsid w:val="00720121"/>
    <w:rsid w:val="007B0DCD"/>
    <w:rsid w:val="007B4CF7"/>
    <w:rsid w:val="00801BC7"/>
    <w:rsid w:val="00802143"/>
    <w:rsid w:val="00807827"/>
    <w:rsid w:val="00827ACA"/>
    <w:rsid w:val="00832030"/>
    <w:rsid w:val="00833602"/>
    <w:rsid w:val="008501E3"/>
    <w:rsid w:val="00851EDA"/>
    <w:rsid w:val="008F69B0"/>
    <w:rsid w:val="00910A97"/>
    <w:rsid w:val="009176CE"/>
    <w:rsid w:val="00921988"/>
    <w:rsid w:val="00930E79"/>
    <w:rsid w:val="00936E25"/>
    <w:rsid w:val="009654A9"/>
    <w:rsid w:val="009B4ECE"/>
    <w:rsid w:val="009B6AA2"/>
    <w:rsid w:val="009C1B28"/>
    <w:rsid w:val="009E007B"/>
    <w:rsid w:val="009E2399"/>
    <w:rsid w:val="009F64AE"/>
    <w:rsid w:val="00A528DC"/>
    <w:rsid w:val="00A867D7"/>
    <w:rsid w:val="00AD0597"/>
    <w:rsid w:val="00B01ADC"/>
    <w:rsid w:val="00B0662E"/>
    <w:rsid w:val="00B153E9"/>
    <w:rsid w:val="00B32C0D"/>
    <w:rsid w:val="00B421B0"/>
    <w:rsid w:val="00B7631A"/>
    <w:rsid w:val="00BA4E91"/>
    <w:rsid w:val="00BA7D9C"/>
    <w:rsid w:val="00BF63F4"/>
    <w:rsid w:val="00C555B4"/>
    <w:rsid w:val="00C73877"/>
    <w:rsid w:val="00CA7463"/>
    <w:rsid w:val="00CB3DC5"/>
    <w:rsid w:val="00D031D9"/>
    <w:rsid w:val="00D154A8"/>
    <w:rsid w:val="00D25746"/>
    <w:rsid w:val="00D5228F"/>
    <w:rsid w:val="00D53344"/>
    <w:rsid w:val="00D6273A"/>
    <w:rsid w:val="00D819A9"/>
    <w:rsid w:val="00DA1DF7"/>
    <w:rsid w:val="00DA3127"/>
    <w:rsid w:val="00DB3D32"/>
    <w:rsid w:val="00DB44FE"/>
    <w:rsid w:val="00DD2736"/>
    <w:rsid w:val="00DD3B5E"/>
    <w:rsid w:val="00DE5694"/>
    <w:rsid w:val="00DE5908"/>
    <w:rsid w:val="00E243A7"/>
    <w:rsid w:val="00E36DA6"/>
    <w:rsid w:val="00E461DE"/>
    <w:rsid w:val="00E52934"/>
    <w:rsid w:val="00E74776"/>
    <w:rsid w:val="00E97DA2"/>
    <w:rsid w:val="00EA0136"/>
    <w:rsid w:val="00EA1022"/>
    <w:rsid w:val="00EA7153"/>
    <w:rsid w:val="00EB7F9E"/>
    <w:rsid w:val="00EC3FEF"/>
    <w:rsid w:val="00EE352D"/>
    <w:rsid w:val="00EF6051"/>
    <w:rsid w:val="00F77544"/>
    <w:rsid w:val="00F80205"/>
    <w:rsid w:val="00FB41A5"/>
    <w:rsid w:val="00FC6745"/>
    <w:rsid w:val="00FD24AF"/>
    <w:rsid w:val="00FD6C5A"/>
    <w:rsid w:val="00FE3D51"/>
    <w:rsid w:val="0187144C"/>
    <w:rsid w:val="03190CB5"/>
    <w:rsid w:val="032C0E80"/>
    <w:rsid w:val="046B23DB"/>
    <w:rsid w:val="06013BEE"/>
    <w:rsid w:val="06E237DE"/>
    <w:rsid w:val="0797489E"/>
    <w:rsid w:val="08245EDB"/>
    <w:rsid w:val="0AF838A6"/>
    <w:rsid w:val="0C756100"/>
    <w:rsid w:val="16440E6A"/>
    <w:rsid w:val="1820443C"/>
    <w:rsid w:val="1C1D316C"/>
    <w:rsid w:val="226A4C31"/>
    <w:rsid w:val="26683EB4"/>
    <w:rsid w:val="26A2611F"/>
    <w:rsid w:val="2A6B62A6"/>
    <w:rsid w:val="2AB04580"/>
    <w:rsid w:val="2BDF21EC"/>
    <w:rsid w:val="2D962D7E"/>
    <w:rsid w:val="2F827A5E"/>
    <w:rsid w:val="32A23F73"/>
    <w:rsid w:val="36910587"/>
    <w:rsid w:val="3986312F"/>
    <w:rsid w:val="3C0417FB"/>
    <w:rsid w:val="42E36169"/>
    <w:rsid w:val="43DE786E"/>
    <w:rsid w:val="459C2AA4"/>
    <w:rsid w:val="46162856"/>
    <w:rsid w:val="48396CD0"/>
    <w:rsid w:val="4A004EE4"/>
    <w:rsid w:val="4B1B65B1"/>
    <w:rsid w:val="4E1B3100"/>
    <w:rsid w:val="509C7DFC"/>
    <w:rsid w:val="50F6575E"/>
    <w:rsid w:val="53FF2B7C"/>
    <w:rsid w:val="55750332"/>
    <w:rsid w:val="5B751975"/>
    <w:rsid w:val="5D12731D"/>
    <w:rsid w:val="6082700E"/>
    <w:rsid w:val="612E4AA0"/>
    <w:rsid w:val="62837E85"/>
    <w:rsid w:val="63E92F01"/>
    <w:rsid w:val="68014955"/>
    <w:rsid w:val="6B317667"/>
    <w:rsid w:val="6D140FEE"/>
    <w:rsid w:val="6D6655C2"/>
    <w:rsid w:val="6D7C6B93"/>
    <w:rsid w:val="6F8D5088"/>
    <w:rsid w:val="71B7463E"/>
    <w:rsid w:val="71E511AB"/>
    <w:rsid w:val="7A6F3D08"/>
    <w:rsid w:val="7B3A48B6"/>
    <w:rsid w:val="7B6351FB"/>
    <w:rsid w:val="7C6B6751"/>
    <w:rsid w:val="7C7970C0"/>
    <w:rsid w:val="7C833A9B"/>
    <w:rsid w:val="7C9E08D4"/>
    <w:rsid w:val="7FB4727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before="156" w:beforeLines="50" w:after="156" w:afterLines="50"/>
      <w:jc w:val="center"/>
    </w:pPr>
    <w:rPr>
      <w:rFonts w:ascii="Times New Roman" w:hAnsi="Times New Roman" w:eastAsia="宋体" w:cs="Times New Roman"/>
      <w:kern w:val="2"/>
      <w:sz w:val="21"/>
      <w:szCs w:val="24"/>
      <w:lang w:val="en-US" w:eastAsia="zh-CN" w:bidi="ar-SA"/>
    </w:rPr>
  </w:style>
  <w:style w:type="character" w:default="1" w:styleId="11">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21"/>
    <w:autoRedefine/>
    <w:qFormat/>
    <w:uiPriority w:val="0"/>
    <w:pPr>
      <w:jc w:val="left"/>
    </w:pPr>
  </w:style>
  <w:style w:type="paragraph" w:styleId="3">
    <w:name w:val="Plain Text"/>
    <w:basedOn w:val="1"/>
    <w:link w:val="24"/>
    <w:autoRedefine/>
    <w:qFormat/>
    <w:uiPriority w:val="0"/>
    <w:rPr>
      <w:rFonts w:ascii="宋体" w:hAnsi="Courier New"/>
      <w:kern w:val="0"/>
      <w:sz w:val="20"/>
      <w:szCs w:val="21"/>
    </w:rPr>
  </w:style>
  <w:style w:type="paragraph" w:styleId="4">
    <w:name w:val="Balloon Text"/>
    <w:basedOn w:val="1"/>
    <w:link w:val="23"/>
    <w:autoRedefine/>
    <w:qFormat/>
    <w:uiPriority w:val="0"/>
    <w:rPr>
      <w:sz w:val="18"/>
      <w:szCs w:val="18"/>
    </w:rPr>
  </w:style>
  <w:style w:type="paragraph" w:styleId="5">
    <w:name w:val="footer"/>
    <w:basedOn w:val="1"/>
    <w:link w:val="14"/>
    <w:autoRedefine/>
    <w:qFormat/>
    <w:uiPriority w:val="99"/>
    <w:pPr>
      <w:tabs>
        <w:tab w:val="center" w:pos="4153"/>
        <w:tab w:val="right" w:pos="8306"/>
      </w:tabs>
      <w:snapToGrid w:val="0"/>
      <w:spacing w:before="120" w:after="120"/>
    </w:pPr>
    <w:rPr>
      <w:sz w:val="18"/>
      <w:szCs w:val="18"/>
    </w:rPr>
  </w:style>
  <w:style w:type="paragraph" w:styleId="6">
    <w:name w:val="header"/>
    <w:basedOn w:val="1"/>
    <w:link w:val="15"/>
    <w:autoRedefine/>
    <w:qFormat/>
    <w:uiPriority w:val="0"/>
    <w:pPr>
      <w:pBdr>
        <w:bottom w:val="single" w:color="auto" w:sz="6" w:space="1"/>
      </w:pBdr>
      <w:tabs>
        <w:tab w:val="center" w:pos="4153"/>
        <w:tab w:val="right" w:pos="8306"/>
      </w:tabs>
      <w:snapToGrid w:val="0"/>
    </w:pPr>
    <w:rPr>
      <w:sz w:val="18"/>
      <w:szCs w:val="18"/>
    </w:rPr>
  </w:style>
  <w:style w:type="paragraph" w:styleId="7">
    <w:name w:val="Normal (Web)"/>
    <w:basedOn w:val="1"/>
    <w:autoRedefine/>
    <w:qFormat/>
    <w:uiPriority w:val="0"/>
    <w:pPr>
      <w:widowControl/>
      <w:spacing w:before="100" w:beforeAutospacing="1" w:after="100" w:afterAutospacing="1"/>
      <w:jc w:val="left"/>
    </w:pPr>
    <w:rPr>
      <w:rFonts w:ascii="宋体" w:hAnsi="宋体"/>
      <w:kern w:val="0"/>
      <w:sz w:val="24"/>
    </w:rPr>
  </w:style>
  <w:style w:type="paragraph" w:styleId="8">
    <w:name w:val="annotation subject"/>
    <w:basedOn w:val="2"/>
    <w:next w:val="2"/>
    <w:link w:val="22"/>
    <w:autoRedefine/>
    <w:qFormat/>
    <w:uiPriority w:val="0"/>
    <w:rPr>
      <w:b/>
      <w:bCs/>
    </w:rPr>
  </w:style>
  <w:style w:type="table" w:styleId="10">
    <w:name w:val="Table Grid"/>
    <w:basedOn w:val="9"/>
    <w:autoRedefine/>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autoRedefine/>
    <w:qFormat/>
    <w:uiPriority w:val="99"/>
    <w:rPr>
      <w:color w:val="0000FF"/>
      <w:u w:val="single"/>
    </w:rPr>
  </w:style>
  <w:style w:type="character" w:styleId="13">
    <w:name w:val="annotation reference"/>
    <w:basedOn w:val="11"/>
    <w:autoRedefine/>
    <w:qFormat/>
    <w:uiPriority w:val="0"/>
    <w:rPr>
      <w:sz w:val="21"/>
      <w:szCs w:val="21"/>
    </w:rPr>
  </w:style>
  <w:style w:type="character" w:customStyle="1" w:styleId="14">
    <w:name w:val="页脚 字符"/>
    <w:link w:val="5"/>
    <w:autoRedefine/>
    <w:qFormat/>
    <w:uiPriority w:val="99"/>
    <w:rPr>
      <w:kern w:val="2"/>
      <w:sz w:val="18"/>
      <w:szCs w:val="18"/>
    </w:rPr>
  </w:style>
  <w:style w:type="character" w:customStyle="1" w:styleId="15">
    <w:name w:val="页眉 字符"/>
    <w:link w:val="6"/>
    <w:autoRedefine/>
    <w:qFormat/>
    <w:uiPriority w:val="0"/>
    <w:rPr>
      <w:kern w:val="2"/>
      <w:sz w:val="18"/>
      <w:szCs w:val="18"/>
    </w:rPr>
  </w:style>
  <w:style w:type="paragraph" w:customStyle="1" w:styleId="16">
    <w:name w:val="列出段落1"/>
    <w:basedOn w:val="1"/>
    <w:autoRedefine/>
    <w:qFormat/>
    <w:uiPriority w:val="34"/>
    <w:pPr>
      <w:ind w:firstLine="420" w:firstLineChars="200"/>
    </w:pPr>
  </w:style>
  <w:style w:type="paragraph" w:customStyle="1" w:styleId="17">
    <w:name w:val="列出段落2"/>
    <w:basedOn w:val="1"/>
    <w:autoRedefine/>
    <w:qFormat/>
    <w:uiPriority w:val="99"/>
    <w:pPr>
      <w:ind w:firstLine="420" w:firstLineChars="200"/>
    </w:pPr>
  </w:style>
  <w:style w:type="character" w:customStyle="1" w:styleId="18">
    <w:name w:val="font21"/>
    <w:basedOn w:val="11"/>
    <w:autoRedefine/>
    <w:qFormat/>
    <w:uiPriority w:val="0"/>
    <w:rPr>
      <w:rFonts w:hint="eastAsia" w:ascii="宋体" w:hAnsi="宋体" w:eastAsia="宋体" w:cs="宋体"/>
      <w:color w:val="000000"/>
      <w:sz w:val="24"/>
      <w:szCs w:val="24"/>
      <w:u w:val="none"/>
    </w:rPr>
  </w:style>
  <w:style w:type="character" w:customStyle="1" w:styleId="19">
    <w:name w:val="font01"/>
    <w:basedOn w:val="11"/>
    <w:autoRedefine/>
    <w:qFormat/>
    <w:uiPriority w:val="0"/>
    <w:rPr>
      <w:rFonts w:hint="eastAsia" w:ascii="宋体" w:hAnsi="宋体" w:eastAsia="宋体" w:cs="宋体"/>
      <w:color w:val="000000"/>
      <w:sz w:val="22"/>
      <w:szCs w:val="22"/>
      <w:u w:val="none"/>
    </w:rPr>
  </w:style>
  <w:style w:type="paragraph" w:styleId="20">
    <w:name w:val="List Paragraph"/>
    <w:basedOn w:val="1"/>
    <w:autoRedefine/>
    <w:qFormat/>
    <w:uiPriority w:val="34"/>
    <w:pPr>
      <w:ind w:firstLine="420" w:firstLineChars="200"/>
    </w:pPr>
  </w:style>
  <w:style w:type="character" w:customStyle="1" w:styleId="21">
    <w:name w:val="批注文字 字符"/>
    <w:basedOn w:val="11"/>
    <w:link w:val="2"/>
    <w:autoRedefine/>
    <w:qFormat/>
    <w:uiPriority w:val="0"/>
    <w:rPr>
      <w:kern w:val="2"/>
      <w:sz w:val="21"/>
      <w:szCs w:val="24"/>
    </w:rPr>
  </w:style>
  <w:style w:type="character" w:customStyle="1" w:styleId="22">
    <w:name w:val="批注主题 字符"/>
    <w:basedOn w:val="21"/>
    <w:link w:val="8"/>
    <w:autoRedefine/>
    <w:qFormat/>
    <w:uiPriority w:val="0"/>
    <w:rPr>
      <w:b/>
      <w:bCs/>
      <w:kern w:val="2"/>
      <w:sz w:val="21"/>
      <w:szCs w:val="24"/>
    </w:rPr>
  </w:style>
  <w:style w:type="character" w:customStyle="1" w:styleId="23">
    <w:name w:val="批注框文本 字符"/>
    <w:basedOn w:val="11"/>
    <w:link w:val="4"/>
    <w:autoRedefine/>
    <w:qFormat/>
    <w:uiPriority w:val="0"/>
    <w:rPr>
      <w:kern w:val="2"/>
      <w:sz w:val="18"/>
      <w:szCs w:val="18"/>
    </w:rPr>
  </w:style>
  <w:style w:type="character" w:customStyle="1" w:styleId="24">
    <w:name w:val="纯文本 字符"/>
    <w:basedOn w:val="11"/>
    <w:link w:val="3"/>
    <w:autoRedefine/>
    <w:qFormat/>
    <w:uiPriority w:val="0"/>
    <w:rPr>
      <w:rFonts w:ascii="宋体" w:hAnsi="Courier New"/>
      <w:szCs w:val="21"/>
    </w:rPr>
  </w:style>
  <w:style w:type="character" w:customStyle="1" w:styleId="25">
    <w:name w:val="font11"/>
    <w:basedOn w:val="11"/>
    <w:autoRedefine/>
    <w:qFormat/>
    <w:uiPriority w:val="0"/>
    <w:rPr>
      <w:rFonts w:hint="eastAsia" w:ascii="宋体" w:hAnsi="宋体" w:eastAsia="宋体" w:cs="宋体"/>
      <w:b/>
      <w:bCs/>
      <w:color w:val="000000"/>
      <w:sz w:val="20"/>
      <w:szCs w:val="20"/>
      <w:u w:val="none"/>
    </w:rPr>
  </w:style>
  <w:style w:type="character" w:customStyle="1" w:styleId="26">
    <w:name w:val="font31"/>
    <w:basedOn w:val="11"/>
    <w:autoRedefine/>
    <w:qFormat/>
    <w:uiPriority w:val="0"/>
    <w:rPr>
      <w:rFonts w:hint="eastAsia" w:ascii="宋体" w:hAnsi="宋体" w:eastAsia="宋体" w:cs="宋体"/>
      <w:color w:val="1D1D1A"/>
      <w:sz w:val="20"/>
      <w:szCs w:val="20"/>
      <w:u w:val="none"/>
    </w:rPr>
  </w:style>
  <w:style w:type="paragraph" w:customStyle="1" w:styleId="27">
    <w:name w:val="修订1"/>
    <w:hidden/>
    <w:unhideWhenUsed/>
    <w:qFormat/>
    <w:uiPriority w:val="99"/>
    <w:rPr>
      <w:rFonts w:ascii="Times New Roman" w:hAnsi="Times New Roman" w:eastAsia="宋体" w:cs="Times New Roman"/>
      <w:kern w:val="2"/>
      <w:sz w:val="21"/>
      <w:szCs w:val="24"/>
      <w:lang w:val="en-US" w:eastAsia="zh-CN" w:bidi="ar-SA"/>
    </w:rPr>
  </w:style>
  <w:style w:type="paragraph" w:customStyle="1" w:styleId="28">
    <w:name w:val="Revision"/>
    <w:hidden/>
    <w:unhideWhenUsed/>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4032</Words>
  <Characters>4070</Characters>
  <Lines>40</Lines>
  <Paragraphs>11</Paragraphs>
  <TotalTime>23</TotalTime>
  <ScaleCrop>false</ScaleCrop>
  <LinksUpToDate>false</LinksUpToDate>
  <CharactersWithSpaces>4244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2024-04-16T07:16:00Z</dcterms:created>
  <dc:creator>25854</dc:creator>
  <cp:lastModifiedBy>陈昌皓</cp:lastModifiedBy>
  <cp:lastPrinted>2023-12-25T03:31:00Z</cp:lastPrinted>
  <dcterms:modified xsi:type="dcterms:W3CDTF">2025-05-30T06:15:10Z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2B0E85A6D30B480BB738A992528AACE4_13</vt:lpwstr>
  </property>
  <property fmtid="{D5CDD505-2E9C-101B-9397-08002B2CF9AE}" pid="4" name="KSOTemplateDocerSaveRecord">
    <vt:lpwstr>eyJoZGlkIjoiN2M3OTBmN2Q3YzE2YzQ5YTNhMzhhMTRjYTkxMmZlMjciLCJ1c2VySWQiOiI4NTQ0Njc1MTEifQ==</vt:lpwstr>
  </property>
</Properties>
</file>