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版本号：JHZB-20250605520250530001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等级保护建设项目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JHZB-202506055</w:t>
      </w:r>
      <w:r>
        <w:br/>
      </w:r>
      <w:r>
        <w:br/>
      </w:r>
      <w:r>
        <w:br/>
      </w:r>
    </w:p>
    <w:p>
      <w:pPr>
        <w:pStyle w:val="null3"/>
        <w:jc w:val="center"/>
        <w:outlineLvl w:val="2"/>
      </w:pPr>
      <w:r>
        <w:rPr>
          <w:rFonts w:ascii="仿宋_GB2312" w:hAnsi="仿宋_GB2312" w:cs="仿宋_GB2312" w:eastAsia="仿宋_GB2312"/>
          <w:sz w:val="28"/>
          <w:b/>
        </w:rPr>
        <w:t>陕西西咸新区人民检察院</w:t>
      </w:r>
    </w:p>
    <w:p>
      <w:pPr>
        <w:pStyle w:val="null3"/>
        <w:jc w:val="center"/>
        <w:outlineLvl w:val="2"/>
      </w:pPr>
      <w:r>
        <w:rPr>
          <w:rFonts w:ascii="仿宋_GB2312" w:hAnsi="仿宋_GB2312" w:cs="仿宋_GB2312" w:eastAsia="仿宋_GB2312"/>
          <w:sz w:val="28"/>
          <w:b/>
        </w:rPr>
        <w:t>陕西建华工程项目管理有限公司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陕西建华工程项目管理有限公司</w:t>
      </w:r>
      <w:r>
        <w:rPr>
          <w:rFonts w:ascii="仿宋_GB2312" w:hAnsi="仿宋_GB2312" w:cs="仿宋_GB2312" w:eastAsia="仿宋_GB2312"/>
        </w:rPr>
        <w:t>（以下简称“代理机构”）受</w:t>
      </w:r>
      <w:r>
        <w:rPr>
          <w:rFonts w:ascii="仿宋_GB2312" w:hAnsi="仿宋_GB2312" w:cs="仿宋_GB2312" w:eastAsia="仿宋_GB2312"/>
        </w:rPr>
        <w:t>陕西西咸新区人民检察院</w:t>
      </w:r>
      <w:r>
        <w:rPr>
          <w:rFonts w:ascii="仿宋_GB2312" w:hAnsi="仿宋_GB2312" w:cs="仿宋_GB2312" w:eastAsia="仿宋_GB2312"/>
        </w:rPr>
        <w:t>委托，拟对</w:t>
      </w:r>
      <w:r>
        <w:rPr>
          <w:rFonts w:ascii="仿宋_GB2312" w:hAnsi="仿宋_GB2312" w:cs="仿宋_GB2312" w:eastAsia="仿宋_GB2312"/>
        </w:rPr>
        <w:t>等级保护建设项目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JHZB-202506055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等级保护建设项目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等级保护建设项目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财务状况报告：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供应商需在项目电子化交易系统中按要求上传相应证明文件并进行电子签章；</w:t>
      </w:r>
    </w:p>
    <w:p>
      <w:pPr>
        <w:pStyle w:val="null3"/>
      </w:pPr>
      <w:r>
        <w:rPr>
          <w:rFonts w:ascii="仿宋_GB2312" w:hAnsi="仿宋_GB2312" w:cs="仿宋_GB2312" w:eastAsia="仿宋_GB2312"/>
        </w:rPr>
        <w:t>2、税收缴纳证明：提供2024年1月1日以来任意一个月税收缴纳证明（至少包含增值税或企业所得税其中一种），依法免税的单位应提供相关证明材料；</w:t>
      </w:r>
    </w:p>
    <w:p>
      <w:pPr>
        <w:pStyle w:val="null3"/>
      </w:pPr>
      <w:r>
        <w:rPr>
          <w:rFonts w:ascii="仿宋_GB2312" w:hAnsi="仿宋_GB2312" w:cs="仿宋_GB2312" w:eastAsia="仿宋_GB2312"/>
        </w:rPr>
        <w:t>3、社会保障资金缴纳证明：提供2024年1月1日以来任意一个月的社会保障资金缴存单据或社保机构开具的社会保险参保缴费情况证明，依法不需要缴纳社会保障资金的单位应提供相关证明材料；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4、承诺函 ：具备履行合同所必需的设备和专业技术能力的证明材料（书面声明）；</w:t>
      </w:r>
    </w:p>
    <w:p>
      <w:pPr>
        <w:pStyle w:val="null3"/>
      </w:pPr>
      <w:r>
        <w:rPr>
          <w:rFonts w:ascii="仿宋_GB2312" w:hAnsi="仿宋_GB2312" w:cs="仿宋_GB2312" w:eastAsia="仿宋_GB2312"/>
        </w:rPr>
        <w:t>5、无重大违法记录 ：参加政府采购活动前3年内在经营活动中没有重大违法记录的书面声明；</w:t>
      </w:r>
    </w:p>
    <w:p>
      <w:pPr>
        <w:pStyle w:val="null3"/>
      </w:pPr>
      <w:r>
        <w:rPr>
          <w:rFonts w:ascii="仿宋_GB2312" w:hAnsi="仿宋_GB2312" w:cs="仿宋_GB2312" w:eastAsia="仿宋_GB2312"/>
        </w:rPr>
        <w:t>6、营业执照 ：企业法人具有有效的营业执照（具备统一社会信用代码）；事业法人应具有有效的事业单位法人证；其他组织应具有合法证明文件；自然人具有身份证明文件；</w:t>
      </w:r>
    </w:p>
    <w:p>
      <w:pPr>
        <w:pStyle w:val="null3"/>
      </w:pPr>
      <w:r>
        <w:rPr>
          <w:rFonts w:ascii="仿宋_GB2312" w:hAnsi="仿宋_GB2312" w:cs="仿宋_GB2312" w:eastAsia="仿宋_GB2312"/>
        </w:rPr>
        <w:t>7、法定代表人授权委托书 ：供应商代表应提供法定代表人（单位负责人）授权书（附法定代表人（单位负责人）及被授权人身份证复印件），（法定代表人（单位负责人）直接参加只须提供法定代表人（单位负责人）身份证明书及身份证复印件；</w:t>
      </w:r>
    </w:p>
    <w:p>
      <w:pPr>
        <w:pStyle w:val="null3"/>
      </w:pPr>
      <w:r>
        <w:rPr>
          <w:rFonts w:ascii="仿宋_GB2312" w:hAnsi="仿宋_GB2312" w:cs="仿宋_GB2312" w:eastAsia="仿宋_GB2312"/>
        </w:rPr>
        <w:t>8、信用 ：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9、不接受联合体磋商 ：本项目不接受联合体磋商，单位负责人为同一人或者存在直接控股、管理关系的不同单位，不得参加同一合同项下的政府采购活动，为采购项目提供整体设计、规范编制或者项目管理、监理、检测等服务的供应商，不得再参加该采购项目。</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陕西西咸新区人民检察院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陕西省咸阳市渭城区窑店街道兰池二路与秦义南路交叉口兰池大厦A座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712000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13992826760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陕西建华工程项目管理有限公司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西安市未央区太华北路华远锦悦写字楼21层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蒋娜娜</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029-87344651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采购包1：435,000.00元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代理服务费收费标准：参照国家发展计划委员会计价格[2002]1980号文件、国家发展和改革委员会办公厅颁发的《关于招标代理服务收费有关问题的通知》（发改办价格[2003]857号）的标准收取。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陕西西咸新区人民检察院</w:t>
      </w:r>
      <w:r>
        <w:rPr>
          <w:rFonts w:ascii="仿宋_GB2312" w:hAnsi="仿宋_GB2312" w:cs="仿宋_GB2312" w:eastAsia="仿宋_GB2312"/>
        </w:rPr>
        <w:t>和</w:t>
      </w:r>
      <w:r>
        <w:rPr>
          <w:rFonts w:ascii="仿宋_GB2312" w:hAnsi="仿宋_GB2312" w:cs="仿宋_GB2312" w:eastAsia="仿宋_GB2312"/>
        </w:rPr>
        <w:t>陕西建华工程项目管理有限公司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陕西西咸新区人民检察院</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陕西建华工程项目管理有限公司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陕西西咸新区人民检察院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陕西建华工程项目管理有限公司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合格</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陕西建华工程项目管理有限公司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陕西建华工程项目管理有限公司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陕西建华工程项目管理有限公司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联系人：蒋娜娜</w:t>
      </w:r>
    </w:p>
    <w:p>
      <w:pPr>
        <w:pStyle w:val="null3"/>
      </w:pPr>
      <w:r>
        <w:rPr>
          <w:rFonts w:ascii="仿宋_GB2312" w:hAnsi="仿宋_GB2312" w:cs="仿宋_GB2312" w:eastAsia="仿宋_GB2312"/>
        </w:rPr>
        <w:t>联系电话：029-87344651</w:t>
      </w:r>
    </w:p>
    <w:p>
      <w:pPr>
        <w:pStyle w:val="null3"/>
      </w:pPr>
      <w:r>
        <w:rPr>
          <w:rFonts w:ascii="仿宋_GB2312" w:hAnsi="仿宋_GB2312" w:cs="仿宋_GB2312" w:eastAsia="仿宋_GB2312"/>
        </w:rPr>
        <w:t>地址：西安市未央区太华北路华远锦悦写字楼21层</w:t>
      </w:r>
    </w:p>
    <w:p>
      <w:pPr>
        <w:pStyle w:val="null3"/>
      </w:pPr>
      <w:r>
        <w:rPr>
          <w:rFonts w:ascii="仿宋_GB2312" w:hAnsi="仿宋_GB2312" w:cs="仿宋_GB2312" w:eastAsia="仿宋_GB2312"/>
        </w:rPr>
        <w:t>邮编：710016</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为满足检察工作网通过等保评测的需要，需采购（1）1台WAF防火墙，用以解决诸如防火墙一类传统设备束手无策的Web应用安全问题，保护防火墙所不能涉及的ISO网络层次中第四到第七层。 （2）1台数据库审计系统，对数据库操作进行细粒度审计的合规性管理，对数据库遭受到的风险行为进行告警，对攻击行为进行阻断； （3）部署安全准入系统，通过网络准入管理体系的建设，实现“三个可信”，即“入网终端与人员身份可信、终端安全配置可信、终端操作行为可信”，切实提高业务系统安全性的终端运维管理效率。 （4）在运维管理区和核心交换区增加边界防火墙和接入交换机，设置访问策略，建立网络边界和服务，防止内部入侵。 (5)提供一年安全防护服务，包含安全巡检、漏洞扫描、风险评估、应急服务、安全加固、重要时期安全保障服务、安全技术培训、安全意识培训等，以服务的方式保障我院信息系统安全可靠。 （6）依据国家等级保护测评工作标准GB/T22239-2019《信息安全技术 网络安全等级保护基本要求》、GB/T28448-2019《信息安全技术 网络安全等级保护测评要求》，供货方委托具有资质的第三方公司（需经采购人同意），对物理环境、通信网络、区域边界、计算环境、管理制度等10个方面对信息系统实施等级保护测评，并出具系统测评报告。</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435,000.00</w:t>
      </w:r>
    </w:p>
    <w:p>
      <w:pPr>
        <w:pStyle w:val="null3"/>
      </w:pPr>
      <w:r>
        <w:rPr>
          <w:rFonts w:ascii="仿宋_GB2312" w:hAnsi="仿宋_GB2312" w:cs="仿宋_GB2312" w:eastAsia="仿宋_GB2312"/>
        </w:rPr>
        <w:t>采购包最高限价（元）: 435,000.00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等级保护建设相关设备及服务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435,000.00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标的名称：等级保护建设相关设备及服务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95"/>
              <w:gridCol w:w="274"/>
              <w:gridCol w:w="232"/>
              <w:gridCol w:w="1175"/>
              <w:gridCol w:w="180"/>
              <w:gridCol w:w="180"/>
              <w:gridCol w:w="304"/>
            </w:tblGrid>
            <w:tr>
              <w:tc>
                <w:tcPr>
                  <w:tcW w:type="dxa" w:w="1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序号</w:t>
                  </w:r>
                </w:p>
              </w:tc>
              <w:tc>
                <w:tcPr>
                  <w:tcW w:type="dxa" w:w="2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产品名称</w:t>
                  </w:r>
                </w:p>
              </w:tc>
              <w:tc>
                <w:tcPr>
                  <w:tcW w:type="dxa" w:w="1407"/>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参数及功能要求</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数量</w:t>
                  </w:r>
                </w:p>
              </w:tc>
              <w:tc>
                <w:tcPr>
                  <w:tcW w:type="dxa" w:w="1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单位</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备注</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国产防火墙</w:t>
                  </w:r>
                </w:p>
              </w:tc>
              <w:tc>
                <w:tcPr>
                  <w:tcW w:type="dxa" w:w="14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after="165"/>
                  </w:pPr>
                  <w:r>
                    <w:rPr>
                      <w:rFonts w:ascii="仿宋_GB2312" w:hAnsi="仿宋_GB2312" w:cs="仿宋_GB2312" w:eastAsia="仿宋_GB2312"/>
                      <w:sz w:val="20"/>
                    </w:rPr>
                    <w:t>★产品须采用国产多核处理器+国产操作系统。</w:t>
                  </w:r>
                </w:p>
                <w:p>
                  <w:pPr>
                    <w:pStyle w:val="null3"/>
                    <w:numPr>
                      <w:ilvl w:val="0"/>
                      <w:numId w:val="1"/>
                    </w:numPr>
                    <w:spacing w:after="165"/>
                  </w:pPr>
                  <w:r>
                    <w:rPr>
                      <w:rFonts w:ascii="仿宋_GB2312" w:hAnsi="仿宋_GB2312" w:cs="仿宋_GB2312" w:eastAsia="仿宋_GB2312"/>
                      <w:sz w:val="20"/>
                    </w:rPr>
                    <w:t>性能参数：网络层吞吐量</w:t>
                  </w:r>
                  <w:r>
                    <w:rPr>
                      <w:rFonts w:ascii="仿宋_GB2312" w:hAnsi="仿宋_GB2312" w:cs="仿宋_GB2312" w:eastAsia="仿宋_GB2312"/>
                      <w:sz w:val="20"/>
                    </w:rPr>
                    <w:t>≥10G，应用层吞吐量≥4G，防病毒吞吐量≥1G，IPS吞吐量≥1G，全威胁吞吐量≥800M，并发连接数≥400万，HTTP新建连接数≥10万。</w:t>
                  </w:r>
                </w:p>
                <w:p>
                  <w:pPr>
                    <w:pStyle w:val="null3"/>
                    <w:numPr>
                      <w:ilvl w:val="0"/>
                      <w:numId w:val="1"/>
                    </w:numPr>
                    <w:spacing w:after="165"/>
                  </w:pPr>
                  <w:r>
                    <w:rPr>
                      <w:rFonts w:ascii="仿宋_GB2312" w:hAnsi="仿宋_GB2312" w:cs="仿宋_GB2312" w:eastAsia="仿宋_GB2312"/>
                      <w:sz w:val="20"/>
                    </w:rPr>
                    <w:t>★硬件参数：规格：1U，内存大小≥8G，硬盘容量≥128G SSD，接口≥6千兆电口，提供产品彩页并加盖厂商公章。</w:t>
                  </w:r>
                </w:p>
                <w:p>
                  <w:pPr>
                    <w:pStyle w:val="null3"/>
                    <w:numPr>
                      <w:ilvl w:val="0"/>
                      <w:numId w:val="1"/>
                    </w:numPr>
                    <w:spacing w:after="165"/>
                  </w:pPr>
                  <w:r>
                    <w:rPr>
                      <w:rFonts w:ascii="仿宋_GB2312" w:hAnsi="仿宋_GB2312" w:cs="仿宋_GB2312" w:eastAsia="仿宋_GB2312"/>
                      <w:sz w:val="20"/>
                    </w:rPr>
                    <w:t>包含</w:t>
                  </w:r>
                  <w:r>
                    <w:rPr>
                      <w:rFonts w:ascii="仿宋_GB2312" w:hAnsi="仿宋_GB2312" w:cs="仿宋_GB2312" w:eastAsia="仿宋_GB2312"/>
                      <w:sz w:val="20"/>
                    </w:rPr>
                    <w:t>ACL控制、防病毒、入侵防御、应用识别等模块。</w:t>
                  </w:r>
                </w:p>
                <w:p>
                  <w:pPr>
                    <w:pStyle w:val="null3"/>
                    <w:numPr>
                      <w:ilvl w:val="0"/>
                      <w:numId w:val="1"/>
                    </w:numPr>
                    <w:spacing w:after="165"/>
                  </w:pPr>
                  <w:r>
                    <w:rPr>
                      <w:rFonts w:ascii="仿宋_GB2312" w:hAnsi="仿宋_GB2312" w:cs="仿宋_GB2312" w:eastAsia="仿宋_GB2312"/>
                      <w:sz w:val="20"/>
                    </w:rPr>
                    <w:t>要求提供</w:t>
                  </w:r>
                  <w:r>
                    <w:rPr>
                      <w:rFonts w:ascii="仿宋_GB2312" w:hAnsi="仿宋_GB2312" w:cs="仿宋_GB2312" w:eastAsia="仿宋_GB2312"/>
                      <w:sz w:val="20"/>
                    </w:rPr>
                    <w:t>16个SSL VPN并发用户。</w:t>
                  </w:r>
                </w:p>
                <w:p>
                  <w:pPr>
                    <w:pStyle w:val="null3"/>
                    <w:numPr>
                      <w:ilvl w:val="0"/>
                      <w:numId w:val="1"/>
                    </w:numPr>
                    <w:spacing w:after="165"/>
                  </w:pPr>
                  <w:r>
                    <w:rPr>
                      <w:rFonts w:ascii="仿宋_GB2312" w:hAnsi="仿宋_GB2312" w:cs="仿宋_GB2312" w:eastAsia="仿宋_GB2312"/>
                      <w:sz w:val="20"/>
                    </w:rPr>
                    <w:t>产品支持对不少于</w:t>
                  </w:r>
                  <w:r>
                    <w:rPr>
                      <w:rFonts w:ascii="仿宋_GB2312" w:hAnsi="仿宋_GB2312" w:cs="仿宋_GB2312" w:eastAsia="仿宋_GB2312"/>
                      <w:sz w:val="20"/>
                    </w:rPr>
                    <w:t>9000种应用的识别和控制。</w:t>
                  </w:r>
                </w:p>
                <w:p>
                  <w:pPr>
                    <w:pStyle w:val="null3"/>
                    <w:numPr>
                      <w:ilvl w:val="0"/>
                      <w:numId w:val="1"/>
                    </w:numPr>
                    <w:spacing w:after="165"/>
                  </w:pPr>
                  <w:r>
                    <w:rPr>
                      <w:rFonts w:ascii="仿宋_GB2312" w:hAnsi="仿宋_GB2312" w:cs="仿宋_GB2312" w:eastAsia="仿宋_GB2312"/>
                      <w:sz w:val="20"/>
                    </w:rPr>
                    <w:t>支持僵尸主机检测功能，产品内置僵尸网络特征库超过</w:t>
                  </w:r>
                  <w:r>
                    <w:rPr>
                      <w:rFonts w:ascii="仿宋_GB2312" w:hAnsi="仿宋_GB2312" w:cs="仿宋_GB2312" w:eastAsia="仿宋_GB2312"/>
                      <w:sz w:val="20"/>
                    </w:rPr>
                    <w:t>120万种。</w:t>
                  </w:r>
                </w:p>
                <w:p>
                  <w:pPr>
                    <w:pStyle w:val="null3"/>
                    <w:numPr>
                      <w:ilvl w:val="0"/>
                      <w:numId w:val="1"/>
                    </w:numPr>
                    <w:spacing w:after="165"/>
                  </w:pPr>
                  <w:r>
                    <w:rPr>
                      <w:rFonts w:ascii="仿宋_GB2312" w:hAnsi="仿宋_GB2312" w:cs="仿宋_GB2312" w:eastAsia="仿宋_GB2312"/>
                      <w:sz w:val="20"/>
                    </w:rPr>
                    <w:t>★内置不低于16000种漏洞规则，支持用户自定义IPS规则，提供证明材料并加盖厂商公章。</w:t>
                  </w:r>
                </w:p>
                <w:p>
                  <w:pPr>
                    <w:pStyle w:val="null3"/>
                    <w:numPr>
                      <w:ilvl w:val="0"/>
                      <w:numId w:val="1"/>
                    </w:numPr>
                    <w:spacing w:after="165"/>
                  </w:pPr>
                  <w:r>
                    <w:rPr>
                      <w:rFonts w:ascii="仿宋_GB2312" w:hAnsi="仿宋_GB2312" w:cs="仿宋_GB2312" w:eastAsia="仿宋_GB2312"/>
                      <w:sz w:val="20"/>
                    </w:rPr>
                    <w:t>★具备独立的勒索病毒防护模块，可以对勒索病毒实现检测与防御，进行勒索风险自动化评估并自动生成防护策略，提供证明材料并加盖厂商公章。</w:t>
                  </w:r>
                </w:p>
                <w:p>
                  <w:pPr>
                    <w:pStyle w:val="null3"/>
                    <w:numPr>
                      <w:ilvl w:val="0"/>
                      <w:numId w:val="1"/>
                    </w:numPr>
                    <w:spacing w:after="165"/>
                  </w:pPr>
                  <w:r>
                    <w:rPr>
                      <w:rFonts w:ascii="仿宋_GB2312" w:hAnsi="仿宋_GB2312" w:cs="仿宋_GB2312" w:eastAsia="仿宋_GB2312"/>
                      <w:sz w:val="20"/>
                    </w:rPr>
                    <w:t>支持服务器漏洞防扫描功能，并对扫描源</w:t>
                  </w:r>
                  <w:r>
                    <w:rPr>
                      <w:rFonts w:ascii="仿宋_GB2312" w:hAnsi="仿宋_GB2312" w:cs="仿宋_GB2312" w:eastAsia="仿宋_GB2312"/>
                      <w:sz w:val="20"/>
                    </w:rPr>
                    <w:t>IP进行日志记录和联动封锁。</w:t>
                  </w:r>
                </w:p>
                <w:p>
                  <w:pPr>
                    <w:pStyle w:val="null3"/>
                    <w:numPr>
                      <w:ilvl w:val="0"/>
                      <w:numId w:val="1"/>
                    </w:numPr>
                    <w:spacing w:after="165"/>
                  </w:pPr>
                  <w:r>
                    <w:rPr>
                      <w:rFonts w:ascii="仿宋_GB2312" w:hAnsi="仿宋_GB2312" w:cs="仿宋_GB2312" w:eastAsia="仿宋_GB2312"/>
                      <w:sz w:val="20"/>
                    </w:rPr>
                    <w:t>支持策略生命周期管理功能，对安全策略修改的时间、原因、变更类型进行统一管理。</w:t>
                  </w:r>
                </w:p>
                <w:p>
                  <w:pPr>
                    <w:pStyle w:val="null3"/>
                    <w:numPr>
                      <w:ilvl w:val="0"/>
                      <w:numId w:val="1"/>
                    </w:numPr>
                    <w:spacing w:after="165"/>
                  </w:pPr>
                  <w:r>
                    <w:rPr>
                      <w:rFonts w:ascii="仿宋_GB2312" w:hAnsi="仿宋_GB2312" w:cs="仿宋_GB2312" w:eastAsia="仿宋_GB2312"/>
                      <w:sz w:val="20"/>
                    </w:rPr>
                    <w:t>★符合CESI-WA-20240101《网络安全技术 网络型防火墙互联互通接口内容和格式》相关要求或者具备ISASecure EDSA CRT产品检测报告证明，提供证明材料。</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2</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国产化</w:t>
                  </w:r>
                  <w:r>
                    <w:rPr>
                      <w:rFonts w:ascii="仿宋_GB2312" w:hAnsi="仿宋_GB2312" w:cs="仿宋_GB2312" w:eastAsia="仿宋_GB2312"/>
                      <w:sz w:val="21"/>
                    </w:rPr>
                    <w:t>WAF防火墙</w:t>
                  </w:r>
                </w:p>
              </w:tc>
              <w:tc>
                <w:tcPr>
                  <w:tcW w:type="dxa" w:w="14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after="165"/>
                  </w:pPr>
                  <w:r>
                    <w:rPr>
                      <w:rFonts w:ascii="仿宋_GB2312" w:hAnsi="仿宋_GB2312" w:cs="仿宋_GB2312" w:eastAsia="仿宋_GB2312"/>
                      <w:sz w:val="20"/>
                    </w:rPr>
                    <w:t>★产品须采用国产多核处理器+国产操作系统。</w:t>
                  </w:r>
                </w:p>
                <w:p>
                  <w:pPr>
                    <w:pStyle w:val="null3"/>
                    <w:numPr>
                      <w:ilvl w:val="0"/>
                      <w:numId w:val="1"/>
                    </w:numPr>
                    <w:spacing w:after="165"/>
                  </w:pPr>
                  <w:r>
                    <w:rPr>
                      <w:rFonts w:ascii="仿宋_GB2312" w:hAnsi="仿宋_GB2312" w:cs="仿宋_GB2312" w:eastAsia="仿宋_GB2312"/>
                      <w:sz w:val="20"/>
                    </w:rPr>
                    <w:t>性能参数：应用层吞吐量</w:t>
                  </w:r>
                  <w:r>
                    <w:rPr>
                      <w:rFonts w:ascii="仿宋_GB2312" w:hAnsi="仿宋_GB2312" w:cs="仿宋_GB2312" w:eastAsia="仿宋_GB2312"/>
                      <w:sz w:val="20"/>
                    </w:rPr>
                    <w:t>≥2G，并发连接数≥200W，HTTP新建连接数≥4.5W。</w:t>
                  </w:r>
                </w:p>
                <w:p>
                  <w:pPr>
                    <w:pStyle w:val="null3"/>
                    <w:numPr>
                      <w:ilvl w:val="0"/>
                      <w:numId w:val="1"/>
                    </w:numPr>
                    <w:spacing w:after="165"/>
                  </w:pPr>
                  <w:r>
                    <w:rPr>
                      <w:rFonts w:ascii="仿宋_GB2312" w:hAnsi="仿宋_GB2312" w:cs="仿宋_GB2312" w:eastAsia="仿宋_GB2312"/>
                      <w:sz w:val="20"/>
                    </w:rPr>
                    <w:t>★硬件参数：规格：1U</w:t>
                  </w:r>
                  <w:r>
                    <w:rPr>
                      <w:rFonts w:ascii="仿宋_GB2312" w:hAnsi="仿宋_GB2312" w:cs="仿宋_GB2312" w:eastAsia="仿宋_GB2312"/>
                      <w:sz w:val="20"/>
                    </w:rPr>
                    <w:t>，内存大小</w:t>
                  </w:r>
                  <w:r>
                    <w:rPr>
                      <w:rFonts w:ascii="仿宋_GB2312" w:hAnsi="仿宋_GB2312" w:cs="仿宋_GB2312" w:eastAsia="仿宋_GB2312"/>
                      <w:sz w:val="20"/>
                    </w:rPr>
                    <w:t>≥8G，硬盘容量≥128G SSD，接口≥6千兆电口，提供产品彩页并加盖厂商公章。</w:t>
                  </w:r>
                </w:p>
                <w:p>
                  <w:pPr>
                    <w:pStyle w:val="null3"/>
                    <w:numPr>
                      <w:ilvl w:val="0"/>
                      <w:numId w:val="1"/>
                    </w:numPr>
                    <w:spacing w:after="165"/>
                  </w:pPr>
                  <w:r>
                    <w:rPr>
                      <w:rFonts w:ascii="仿宋_GB2312" w:hAnsi="仿宋_GB2312" w:cs="仿宋_GB2312" w:eastAsia="仿宋_GB2312"/>
                      <w:sz w:val="20"/>
                    </w:rPr>
                    <w:t>支持虚拟</w:t>
                  </w:r>
                  <w:r>
                    <w:rPr>
                      <w:rFonts w:ascii="仿宋_GB2312" w:hAnsi="仿宋_GB2312" w:cs="仿宋_GB2312" w:eastAsia="仿宋_GB2312"/>
                      <w:sz w:val="20"/>
                    </w:rPr>
                    <w:t>Web应用防火墙功能，支持虚拟Web应用防火</w:t>
                  </w:r>
                  <w:r>
                    <w:rPr>
                      <w:rFonts w:ascii="仿宋_GB2312" w:hAnsi="仿宋_GB2312" w:cs="仿宋_GB2312" w:eastAsia="仿宋_GB2312"/>
                      <w:sz w:val="20"/>
                    </w:rPr>
                    <w:t>墙的创建和删除，具备独立的接口、会话管理、应用控制策略、</w:t>
                  </w:r>
                  <w:r>
                    <w:rPr>
                      <w:rFonts w:ascii="仿宋_GB2312" w:hAnsi="仿宋_GB2312" w:cs="仿宋_GB2312" w:eastAsia="仿宋_GB2312"/>
                      <w:sz w:val="20"/>
                    </w:rPr>
                    <w:t>NAT等资源。</w:t>
                  </w:r>
                </w:p>
                <w:p>
                  <w:pPr>
                    <w:pStyle w:val="null3"/>
                    <w:numPr>
                      <w:ilvl w:val="0"/>
                      <w:numId w:val="1"/>
                    </w:numPr>
                    <w:spacing w:after="165"/>
                  </w:pPr>
                  <w:r>
                    <w:rPr>
                      <w:rFonts w:ascii="仿宋_GB2312" w:hAnsi="仿宋_GB2312" w:cs="仿宋_GB2312" w:eastAsia="仿宋_GB2312"/>
                      <w:sz w:val="20"/>
                    </w:rPr>
                    <w:t>支持基于应用、服务、时间、域名、</w:t>
                  </w:r>
                  <w:r>
                    <w:rPr>
                      <w:rFonts w:ascii="仿宋_GB2312" w:hAnsi="仿宋_GB2312" w:cs="仿宋_GB2312" w:eastAsia="仿宋_GB2312"/>
                      <w:sz w:val="20"/>
                    </w:rPr>
                    <w:t>IPv6对象等维度的访问控制。</w:t>
                  </w:r>
                </w:p>
                <w:p>
                  <w:pPr>
                    <w:pStyle w:val="null3"/>
                    <w:numPr>
                      <w:ilvl w:val="0"/>
                      <w:numId w:val="1"/>
                    </w:numPr>
                    <w:spacing w:after="165"/>
                  </w:pPr>
                  <w:r>
                    <w:rPr>
                      <w:rFonts w:ascii="仿宋_GB2312" w:hAnsi="仿宋_GB2312" w:cs="仿宋_GB2312" w:eastAsia="仿宋_GB2312"/>
                      <w:sz w:val="20"/>
                    </w:rPr>
                    <w:t>★支持4500种WEB应用攻击特征，支持对跨站脚本（XSS）攻击、SQL注入、文件包含攻击、信息泄露攻击、WEBSHELL、网站扫描、网页木马等攻击类型进行防护，提供证明材料并加盖厂商公章。</w:t>
                  </w:r>
                </w:p>
                <w:p>
                  <w:pPr>
                    <w:pStyle w:val="null3"/>
                    <w:numPr>
                      <w:ilvl w:val="0"/>
                      <w:numId w:val="1"/>
                    </w:numPr>
                    <w:spacing w:after="165"/>
                  </w:pPr>
                  <w:r>
                    <w:rPr>
                      <w:rFonts w:ascii="仿宋_GB2312" w:hAnsi="仿宋_GB2312" w:cs="仿宋_GB2312" w:eastAsia="仿宋_GB2312"/>
                      <w:sz w:val="20"/>
                    </w:rPr>
                    <w:t>支持</w:t>
                  </w:r>
                  <w:r>
                    <w:rPr>
                      <w:rFonts w:ascii="仿宋_GB2312" w:hAnsi="仿宋_GB2312" w:cs="仿宋_GB2312" w:eastAsia="仿宋_GB2312"/>
                      <w:sz w:val="20"/>
                    </w:rPr>
                    <w:t>X-Forworded-For字段检测，并对非法源IP进行日志记录和联动封锁。</w:t>
                  </w:r>
                </w:p>
                <w:p>
                  <w:pPr>
                    <w:pStyle w:val="null3"/>
                    <w:numPr>
                      <w:ilvl w:val="0"/>
                      <w:numId w:val="1"/>
                    </w:numPr>
                    <w:spacing w:after="165"/>
                  </w:pPr>
                  <w:r>
                    <w:rPr>
                      <w:rFonts w:ascii="仿宋_GB2312" w:hAnsi="仿宋_GB2312" w:cs="仿宋_GB2312" w:eastAsia="仿宋_GB2312"/>
                      <w:sz w:val="20"/>
                    </w:rPr>
                    <w:t>支持服务器漏洞防扫描功能，并对扫描源</w:t>
                  </w:r>
                  <w:r>
                    <w:rPr>
                      <w:rFonts w:ascii="仿宋_GB2312" w:hAnsi="仿宋_GB2312" w:cs="仿宋_GB2312" w:eastAsia="仿宋_GB2312"/>
                      <w:sz w:val="20"/>
                    </w:rPr>
                    <w:t>IP进行日志记录和联动封锁。</w:t>
                  </w:r>
                </w:p>
                <w:p>
                  <w:pPr>
                    <w:pStyle w:val="null3"/>
                    <w:numPr>
                      <w:ilvl w:val="0"/>
                      <w:numId w:val="1"/>
                    </w:numPr>
                    <w:spacing w:after="165"/>
                  </w:pPr>
                  <w:r>
                    <w:rPr>
                      <w:rFonts w:ascii="仿宋_GB2312" w:hAnsi="仿宋_GB2312" w:cs="仿宋_GB2312" w:eastAsia="仿宋_GB2312"/>
                      <w:sz w:val="20"/>
                    </w:rPr>
                    <w:t>支持</w:t>
                  </w:r>
                  <w:r>
                    <w:rPr>
                      <w:rFonts w:ascii="仿宋_GB2312" w:hAnsi="仿宋_GB2312" w:cs="仿宋_GB2312" w:eastAsia="仿宋_GB2312"/>
                      <w:sz w:val="20"/>
                    </w:rPr>
                    <w:t>Cookie攻击防护功能，并通过日志记录Cookie被篡改。</w:t>
                  </w:r>
                </w:p>
                <w:p>
                  <w:pPr>
                    <w:pStyle w:val="null3"/>
                    <w:numPr>
                      <w:ilvl w:val="0"/>
                      <w:numId w:val="1"/>
                    </w:numPr>
                    <w:spacing w:after="165"/>
                  </w:pPr>
                  <w:r>
                    <w:rPr>
                      <w:rFonts w:ascii="仿宋_GB2312" w:hAnsi="仿宋_GB2312" w:cs="仿宋_GB2312" w:eastAsia="仿宋_GB2312"/>
                      <w:sz w:val="20"/>
                    </w:rPr>
                    <w:t>支持安全策略有效性分析功能，提供安全策略优化建议。</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3</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国产化数据审计</w:t>
                  </w:r>
                </w:p>
              </w:tc>
              <w:tc>
                <w:tcPr>
                  <w:tcW w:type="dxa" w:w="14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after="165"/>
                  </w:pPr>
                  <w:r>
                    <w:rPr>
                      <w:rFonts w:ascii="仿宋_GB2312" w:hAnsi="仿宋_GB2312" w:cs="仿宋_GB2312" w:eastAsia="仿宋_GB2312"/>
                      <w:sz w:val="20"/>
                    </w:rPr>
                    <w:t>★产品须采用国产多核处理器+国产操作系统。</w:t>
                  </w:r>
                </w:p>
                <w:p>
                  <w:pPr>
                    <w:pStyle w:val="null3"/>
                    <w:numPr>
                      <w:ilvl w:val="0"/>
                      <w:numId w:val="1"/>
                    </w:numPr>
                    <w:spacing w:after="165"/>
                  </w:pPr>
                  <w:r>
                    <w:rPr>
                      <w:rFonts w:ascii="仿宋_GB2312" w:hAnsi="仿宋_GB2312" w:cs="仿宋_GB2312" w:eastAsia="仿宋_GB2312"/>
                      <w:sz w:val="20"/>
                    </w:rPr>
                    <w:t>性能参数：吞吐量</w:t>
                  </w:r>
                  <w:r>
                    <w:rPr>
                      <w:rFonts w:ascii="仿宋_GB2312" w:hAnsi="仿宋_GB2312" w:cs="仿宋_GB2312" w:eastAsia="仿宋_GB2312"/>
                      <w:sz w:val="20"/>
                    </w:rPr>
                    <w:t>≥2Gbps， SQL流量≥400Mb/s，数据库实例个数≥30个，SQL处理性能≥30000条SQL/s，日志检索性能≥400000条/秒。</w:t>
                  </w:r>
                </w:p>
                <w:p>
                  <w:pPr>
                    <w:pStyle w:val="null3"/>
                    <w:numPr>
                      <w:ilvl w:val="0"/>
                      <w:numId w:val="1"/>
                    </w:numPr>
                    <w:spacing w:after="165"/>
                  </w:pPr>
                  <w:r>
                    <w:rPr>
                      <w:rFonts w:ascii="仿宋_GB2312" w:hAnsi="仿宋_GB2312" w:cs="仿宋_GB2312" w:eastAsia="仿宋_GB2312"/>
                      <w:sz w:val="20"/>
                    </w:rPr>
                    <w:t>★硬件参数：规格：2U，内存大小≥8G，系统盘≥128G SSD，数据盘≥4T，接口≥6千兆电口，提供产品彩页并加盖厂商公章。</w:t>
                  </w:r>
                </w:p>
                <w:p>
                  <w:pPr>
                    <w:pStyle w:val="null3"/>
                    <w:numPr>
                      <w:ilvl w:val="0"/>
                      <w:numId w:val="1"/>
                    </w:numPr>
                    <w:spacing w:after="165"/>
                  </w:pPr>
                  <w:r>
                    <w:rPr>
                      <w:rFonts w:ascii="仿宋_GB2312" w:hAnsi="仿宋_GB2312" w:cs="仿宋_GB2312" w:eastAsia="仿宋_GB2312"/>
                      <w:sz w:val="20"/>
                    </w:rPr>
                    <w:t>支持多种数据库类型的审计，包括</w:t>
                  </w:r>
                  <w:r>
                    <w:rPr>
                      <w:rFonts w:ascii="仿宋_GB2312" w:hAnsi="仿宋_GB2312" w:cs="仿宋_GB2312" w:eastAsia="仿宋_GB2312"/>
                      <w:sz w:val="20"/>
                    </w:rPr>
                    <w:t>Oracle、SQL-Server、DB2、MySQL、Informix、达梦、人大金仓、postgresql、sysbase、cache等。</w:t>
                  </w:r>
                </w:p>
                <w:p>
                  <w:pPr>
                    <w:pStyle w:val="null3"/>
                    <w:numPr>
                      <w:ilvl w:val="0"/>
                      <w:numId w:val="1"/>
                    </w:numPr>
                    <w:spacing w:after="165"/>
                  </w:pPr>
                  <w:r>
                    <w:rPr>
                      <w:rFonts w:ascii="仿宋_GB2312" w:hAnsi="仿宋_GB2312" w:cs="仿宋_GB2312" w:eastAsia="仿宋_GB2312"/>
                      <w:sz w:val="20"/>
                    </w:rPr>
                    <w:t>支持以风险级别、源</w:t>
                  </w:r>
                  <w:r>
                    <w:rPr>
                      <w:rFonts w:ascii="仿宋_GB2312" w:hAnsi="仿宋_GB2312" w:cs="仿宋_GB2312" w:eastAsia="仿宋_GB2312"/>
                      <w:sz w:val="20"/>
                    </w:rPr>
                    <w:t>IP、业务主机、数据库用户、风险类型为维度的数据库风险排行。</w:t>
                  </w:r>
                </w:p>
                <w:p>
                  <w:pPr>
                    <w:pStyle w:val="null3"/>
                    <w:numPr>
                      <w:ilvl w:val="0"/>
                      <w:numId w:val="1"/>
                    </w:numPr>
                    <w:spacing w:after="165"/>
                  </w:pPr>
                  <w:r>
                    <w:rPr>
                      <w:rFonts w:ascii="仿宋_GB2312" w:hAnsi="仿宋_GB2312" w:cs="仿宋_GB2312" w:eastAsia="仿宋_GB2312"/>
                      <w:sz w:val="20"/>
                    </w:rPr>
                    <w:t>★支持通过配置SQL类型翻译字典、表翻译字典、字段翻译字典实现SQL语句转换成中文自然语言，提供证明材料并加盖厂商公章。</w:t>
                  </w:r>
                </w:p>
                <w:p>
                  <w:pPr>
                    <w:pStyle w:val="null3"/>
                    <w:numPr>
                      <w:ilvl w:val="0"/>
                      <w:numId w:val="1"/>
                    </w:numPr>
                    <w:spacing w:after="165"/>
                  </w:pPr>
                  <w:r>
                    <w:rPr>
                      <w:rFonts w:ascii="仿宋_GB2312" w:hAnsi="仿宋_GB2312" w:cs="仿宋_GB2312" w:eastAsia="仿宋_GB2312"/>
                      <w:sz w:val="20"/>
                    </w:rPr>
                    <w:t>支持对</w:t>
                  </w:r>
                  <w:r>
                    <w:rPr>
                      <w:rFonts w:ascii="仿宋_GB2312" w:hAnsi="仿宋_GB2312" w:cs="仿宋_GB2312" w:eastAsia="仿宋_GB2312"/>
                      <w:sz w:val="20"/>
                    </w:rPr>
                    <w:t>SQL语句进行安全检测，并识别当前的SQL操作是否有暴库、撞库等严重性安全问题。</w:t>
                  </w:r>
                </w:p>
                <w:p>
                  <w:pPr>
                    <w:pStyle w:val="null3"/>
                    <w:numPr>
                      <w:ilvl w:val="0"/>
                      <w:numId w:val="1"/>
                    </w:numPr>
                    <w:spacing w:after="165"/>
                  </w:pPr>
                  <w:r>
                    <w:rPr>
                      <w:rFonts w:ascii="仿宋_GB2312" w:hAnsi="仿宋_GB2312" w:cs="仿宋_GB2312" w:eastAsia="仿宋_GB2312"/>
                      <w:sz w:val="20"/>
                    </w:rPr>
                    <w:t>支持基于</w:t>
                  </w:r>
                  <w:r>
                    <w:rPr>
                      <w:rFonts w:ascii="仿宋_GB2312" w:hAnsi="仿宋_GB2312" w:cs="仿宋_GB2312" w:eastAsia="仿宋_GB2312"/>
                      <w:sz w:val="20"/>
                    </w:rPr>
                    <w:t>SQL命令的webshell检测，提供webshell日志查询功能。</w:t>
                  </w:r>
                </w:p>
                <w:p>
                  <w:pPr>
                    <w:pStyle w:val="null3"/>
                    <w:numPr>
                      <w:ilvl w:val="0"/>
                      <w:numId w:val="1"/>
                    </w:numPr>
                    <w:spacing w:after="165"/>
                  </w:pPr>
                  <w:r>
                    <w:rPr>
                      <w:rFonts w:ascii="仿宋_GB2312" w:hAnsi="仿宋_GB2312" w:cs="仿宋_GB2312" w:eastAsia="仿宋_GB2312"/>
                      <w:sz w:val="20"/>
                    </w:rPr>
                    <w:t>支持实时监控审计设备接收和发送的网络流量，支持实时监控审计设备各网口接收和发送的网络流量。</w:t>
                  </w:r>
                </w:p>
                <w:p>
                  <w:pPr>
                    <w:pStyle w:val="null3"/>
                    <w:numPr>
                      <w:ilvl w:val="0"/>
                      <w:numId w:val="1"/>
                    </w:numPr>
                    <w:spacing w:after="165"/>
                  </w:pPr>
                  <w:r>
                    <w:rPr>
                      <w:rFonts w:ascii="仿宋_GB2312" w:hAnsi="仿宋_GB2312" w:cs="仿宋_GB2312" w:eastAsia="仿宋_GB2312"/>
                      <w:sz w:val="20"/>
                    </w:rPr>
                    <w:t>支持挂载外置硬盘，给数据库审计存储数据扩容。</w:t>
                  </w:r>
                </w:p>
                <w:p>
                  <w:pPr>
                    <w:pStyle w:val="null3"/>
                    <w:numPr>
                      <w:ilvl w:val="0"/>
                      <w:numId w:val="1"/>
                    </w:numPr>
                    <w:spacing w:after="165"/>
                  </w:pPr>
                  <w:r>
                    <w:rPr>
                      <w:rFonts w:ascii="仿宋_GB2312" w:hAnsi="仿宋_GB2312" w:cs="仿宋_GB2312" w:eastAsia="仿宋_GB2312"/>
                      <w:sz w:val="20"/>
                    </w:rPr>
                    <w:t>支持用户双因子登录认证，支持用户采用动态码登录系统功能。</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国产化安全准入</w:t>
                  </w:r>
                </w:p>
              </w:tc>
              <w:tc>
                <w:tcPr>
                  <w:tcW w:type="dxa" w:w="14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after="165"/>
                  </w:pPr>
                  <w:r>
                    <w:rPr>
                      <w:rFonts w:ascii="仿宋_GB2312" w:hAnsi="仿宋_GB2312" w:cs="仿宋_GB2312" w:eastAsia="仿宋_GB2312"/>
                      <w:sz w:val="20"/>
                    </w:rPr>
                    <w:t>★产品须采用国产多核处理器+国产操作系统。</w:t>
                  </w:r>
                </w:p>
                <w:p>
                  <w:pPr>
                    <w:pStyle w:val="null3"/>
                    <w:numPr>
                      <w:ilvl w:val="0"/>
                      <w:numId w:val="1"/>
                    </w:numPr>
                    <w:spacing w:after="165"/>
                  </w:pPr>
                  <w:r>
                    <w:rPr>
                      <w:rFonts w:ascii="仿宋_GB2312" w:hAnsi="仿宋_GB2312" w:cs="仿宋_GB2312" w:eastAsia="仿宋_GB2312"/>
                      <w:sz w:val="20"/>
                    </w:rPr>
                    <w:t>性能参数：网络层吞吐量</w:t>
                  </w:r>
                  <w:r>
                    <w:rPr>
                      <w:rFonts w:ascii="仿宋_GB2312" w:hAnsi="仿宋_GB2312" w:cs="仿宋_GB2312" w:eastAsia="仿宋_GB2312"/>
                      <w:sz w:val="20"/>
                    </w:rPr>
                    <w:t>≥3.6Gb，应用层吞吐量≥450Mb， IPSEC VPN加密性能≥</w:t>
                  </w:r>
                  <w:r>
                    <w:rPr>
                      <w:rFonts w:ascii="仿宋_GB2312" w:hAnsi="仿宋_GB2312" w:cs="仿宋_GB2312" w:eastAsia="仿宋_GB2312"/>
                      <w:sz w:val="20"/>
                    </w:rPr>
                    <w:t>1</w:t>
                  </w:r>
                  <w:r>
                    <w:rPr>
                      <w:rFonts w:ascii="仿宋_GB2312" w:hAnsi="仿宋_GB2312" w:cs="仿宋_GB2312" w:eastAsia="仿宋_GB2312"/>
                      <w:sz w:val="20"/>
                    </w:rPr>
                    <w:t>00Mb，准入终端数≥800，每秒新建连接数≥4000，最大并发连接数≥150000。</w:t>
                  </w:r>
                </w:p>
                <w:p>
                  <w:pPr>
                    <w:pStyle w:val="null3"/>
                    <w:numPr>
                      <w:ilvl w:val="0"/>
                      <w:numId w:val="1"/>
                    </w:numPr>
                    <w:spacing w:after="165"/>
                  </w:pPr>
                  <w:r>
                    <w:rPr>
                      <w:rFonts w:ascii="仿宋_GB2312" w:hAnsi="仿宋_GB2312" w:cs="仿宋_GB2312" w:eastAsia="仿宋_GB2312"/>
                      <w:sz w:val="20"/>
                    </w:rPr>
                    <w:t>★硬件参数：规格：1U，内存大小≥8G，硬盘容量≥480G SSD，接口≥6千兆电口，提供产品彩页并加盖厂商公章。</w:t>
                  </w:r>
                </w:p>
                <w:p>
                  <w:pPr>
                    <w:pStyle w:val="null3"/>
                    <w:numPr>
                      <w:ilvl w:val="0"/>
                      <w:numId w:val="1"/>
                    </w:numPr>
                    <w:spacing w:after="165"/>
                  </w:pPr>
                  <w:r>
                    <w:rPr>
                      <w:rFonts w:ascii="仿宋_GB2312" w:hAnsi="仿宋_GB2312" w:cs="仿宋_GB2312" w:eastAsia="仿宋_GB2312"/>
                      <w:sz w:val="20"/>
                    </w:rPr>
                    <w:t>支持禁用代理功能，可以禁止网络中外部</w:t>
                  </w:r>
                  <w:r>
                    <w:rPr>
                      <w:rFonts w:ascii="仿宋_GB2312" w:hAnsi="仿宋_GB2312" w:cs="仿宋_GB2312" w:eastAsia="仿宋_GB2312"/>
                      <w:sz w:val="20"/>
                    </w:rPr>
                    <w:t>HTTP代理、外部Sock4/5等代理。</w:t>
                  </w:r>
                </w:p>
                <w:p>
                  <w:pPr>
                    <w:pStyle w:val="null3"/>
                    <w:numPr>
                      <w:ilvl w:val="0"/>
                      <w:numId w:val="1"/>
                    </w:numPr>
                    <w:spacing w:after="165"/>
                  </w:pPr>
                  <w:r>
                    <w:rPr>
                      <w:rFonts w:ascii="仿宋_GB2312" w:hAnsi="仿宋_GB2312" w:cs="仿宋_GB2312" w:eastAsia="仿宋_GB2312"/>
                      <w:sz w:val="20"/>
                    </w:rPr>
                    <w:t>支持基于流量通道以及整体网络的使用情况，对设置好的流量策略进行自启用或者停止。</w:t>
                  </w:r>
                </w:p>
                <w:p>
                  <w:pPr>
                    <w:pStyle w:val="null3"/>
                    <w:numPr>
                      <w:ilvl w:val="0"/>
                      <w:numId w:val="1"/>
                    </w:numPr>
                    <w:spacing w:after="165"/>
                  </w:pPr>
                  <w:r>
                    <w:rPr>
                      <w:rFonts w:ascii="仿宋_GB2312" w:hAnsi="仿宋_GB2312" w:cs="仿宋_GB2312" w:eastAsia="仿宋_GB2312"/>
                      <w:sz w:val="20"/>
                    </w:rPr>
                    <w:t>支持全网终端的资产测绘，提供可视化展示屏幕，根据</w:t>
                  </w:r>
                  <w:r>
                    <w:rPr>
                      <w:rFonts w:ascii="仿宋_GB2312" w:hAnsi="仿宋_GB2312" w:cs="仿宋_GB2312" w:eastAsia="仿宋_GB2312"/>
                      <w:sz w:val="20"/>
                    </w:rPr>
                    <w:t>IP地址段可展示全网终端上线情况、IP地址、Mac地址以及活跃时间等等。</w:t>
                  </w:r>
                </w:p>
                <w:p>
                  <w:pPr>
                    <w:pStyle w:val="null3"/>
                    <w:numPr>
                      <w:ilvl w:val="0"/>
                      <w:numId w:val="1"/>
                    </w:numPr>
                    <w:spacing w:after="165"/>
                  </w:pPr>
                  <w:r>
                    <w:rPr>
                      <w:rFonts w:ascii="仿宋_GB2312" w:hAnsi="仿宋_GB2312" w:cs="仿宋_GB2312" w:eastAsia="仿宋_GB2312"/>
                      <w:sz w:val="20"/>
                    </w:rPr>
                    <w:t>控制台具备不同维度的分析视角界面，如接入上网人员人数情况、整体入网资产情况、资产分类、违规外联情况、流量分析等界面。</w:t>
                  </w:r>
                </w:p>
                <w:p>
                  <w:pPr>
                    <w:pStyle w:val="null3"/>
                    <w:numPr>
                      <w:ilvl w:val="0"/>
                      <w:numId w:val="1"/>
                    </w:numPr>
                    <w:spacing w:after="165"/>
                  </w:pPr>
                  <w:r>
                    <w:rPr>
                      <w:rFonts w:ascii="仿宋_GB2312" w:hAnsi="仿宋_GB2312" w:cs="仿宋_GB2312" w:eastAsia="仿宋_GB2312"/>
                      <w:sz w:val="20"/>
                    </w:rPr>
                    <w:t>★针对办公用户的web访问质量进行检测，提供整体网络质量评级，提供证明材料并加盖厂商公章。</w:t>
                  </w:r>
                </w:p>
                <w:p>
                  <w:pPr>
                    <w:pStyle w:val="null3"/>
                    <w:numPr>
                      <w:ilvl w:val="0"/>
                      <w:numId w:val="1"/>
                    </w:numPr>
                    <w:spacing w:after="165"/>
                  </w:pPr>
                  <w:r>
                    <w:rPr>
                      <w:rFonts w:ascii="仿宋_GB2312" w:hAnsi="仿宋_GB2312" w:cs="仿宋_GB2312" w:eastAsia="仿宋_GB2312"/>
                      <w:sz w:val="20"/>
                    </w:rPr>
                    <w:t>支持</w:t>
                  </w:r>
                  <w:r>
                    <w:rPr>
                      <w:rFonts w:ascii="仿宋_GB2312" w:hAnsi="仿宋_GB2312" w:cs="仿宋_GB2312" w:eastAsia="仿宋_GB2312"/>
                      <w:sz w:val="20"/>
                    </w:rPr>
                    <w:t>PPS异常、丢包异常、ARP异常、内网DOS攻击等异常情况实时监测，显示每日异常事件个数及情况。</w:t>
                  </w:r>
                </w:p>
                <w:p>
                  <w:pPr>
                    <w:pStyle w:val="null3"/>
                    <w:numPr>
                      <w:ilvl w:val="0"/>
                      <w:numId w:val="1"/>
                    </w:numPr>
                    <w:spacing w:after="165"/>
                  </w:pPr>
                  <w:r>
                    <w:rPr>
                      <w:rFonts w:ascii="仿宋_GB2312" w:hAnsi="仿宋_GB2312" w:cs="仿宋_GB2312" w:eastAsia="仿宋_GB2312"/>
                      <w:sz w:val="20"/>
                    </w:rPr>
                    <w:t>★支持对加密HTTPS、SMTP-SSL、SMTP的邮件进行关键字过滤，提供证明材料并加盖厂商公章。</w:t>
                  </w:r>
                </w:p>
                <w:p>
                  <w:pPr>
                    <w:pStyle w:val="null3"/>
                    <w:numPr>
                      <w:ilvl w:val="0"/>
                      <w:numId w:val="1"/>
                    </w:numPr>
                    <w:spacing w:after="165"/>
                  </w:pPr>
                  <w:r>
                    <w:rPr>
                      <w:rFonts w:ascii="仿宋_GB2312" w:hAnsi="仿宋_GB2312" w:cs="仿宋_GB2312" w:eastAsia="仿宋_GB2312"/>
                      <w:sz w:val="20"/>
                    </w:rPr>
                    <w:t>支持对邮箱外发进行审计，对于加密传输的正文以及附件均可以审计。</w:t>
                  </w:r>
                </w:p>
                <w:p>
                  <w:pPr>
                    <w:pStyle w:val="null3"/>
                    <w:numPr>
                      <w:ilvl w:val="0"/>
                      <w:numId w:val="1"/>
                    </w:numPr>
                    <w:spacing w:after="165"/>
                  </w:pPr>
                  <w:r>
                    <w:rPr>
                      <w:rFonts w:ascii="仿宋_GB2312" w:hAnsi="仿宋_GB2312" w:cs="仿宋_GB2312" w:eastAsia="仿宋_GB2312"/>
                      <w:sz w:val="20"/>
                    </w:rPr>
                    <w:t>支持阻断终端用户使用外设，比如</w:t>
                  </w:r>
                  <w:r>
                    <w:rPr>
                      <w:rFonts w:ascii="仿宋_GB2312" w:hAnsi="仿宋_GB2312" w:cs="仿宋_GB2312" w:eastAsia="仿宋_GB2312"/>
                      <w:sz w:val="20"/>
                    </w:rPr>
                    <w:t>U盘、外置硬盘、打印机等，防止终端用户从内网拷贝信息。</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5</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运维区交换机</w:t>
                  </w:r>
                </w:p>
              </w:tc>
              <w:tc>
                <w:tcPr>
                  <w:tcW w:type="dxa" w:w="1407"/>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numPr>
                      <w:ilvl w:val="0"/>
                      <w:numId w:val="1"/>
                    </w:numPr>
                    <w:spacing w:after="165"/>
                  </w:pPr>
                  <w:r>
                    <w:rPr>
                      <w:rFonts w:ascii="仿宋_GB2312" w:hAnsi="仿宋_GB2312" w:cs="仿宋_GB2312" w:eastAsia="仿宋_GB2312"/>
                      <w:sz w:val="20"/>
                    </w:rPr>
                    <w:t>交换容量</w:t>
                  </w:r>
                  <w:r>
                    <w:rPr>
                      <w:rFonts w:ascii="仿宋_GB2312" w:hAnsi="仿宋_GB2312" w:cs="仿宋_GB2312" w:eastAsia="仿宋_GB2312"/>
                      <w:sz w:val="20"/>
                    </w:rPr>
                    <w:t>≥300Gbps，包转发率≥120Mpps。</w:t>
                  </w:r>
                </w:p>
                <w:p>
                  <w:pPr>
                    <w:pStyle w:val="null3"/>
                    <w:numPr>
                      <w:ilvl w:val="0"/>
                      <w:numId w:val="1"/>
                    </w:numPr>
                    <w:spacing w:after="165"/>
                  </w:pPr>
                  <w:r>
                    <w:rPr>
                      <w:rFonts w:ascii="仿宋_GB2312" w:hAnsi="仿宋_GB2312" w:cs="仿宋_GB2312" w:eastAsia="仿宋_GB2312"/>
                      <w:sz w:val="20"/>
                    </w:rPr>
                    <w:t>提供</w:t>
                  </w:r>
                  <w:r>
                    <w:rPr>
                      <w:rFonts w:ascii="仿宋_GB2312" w:hAnsi="仿宋_GB2312" w:cs="仿宋_GB2312" w:eastAsia="仿宋_GB2312"/>
                      <w:sz w:val="20"/>
                    </w:rPr>
                    <w:t>≥24个千兆电端口和4个万兆光端口（含模块）；</w:t>
                  </w:r>
                </w:p>
                <w:p>
                  <w:pPr>
                    <w:pStyle w:val="null3"/>
                    <w:numPr>
                      <w:ilvl w:val="0"/>
                      <w:numId w:val="1"/>
                    </w:numPr>
                    <w:spacing w:after="165"/>
                  </w:pPr>
                  <w:r>
                    <w:rPr>
                      <w:rFonts w:ascii="仿宋_GB2312" w:hAnsi="仿宋_GB2312" w:cs="仿宋_GB2312" w:eastAsia="仿宋_GB2312"/>
                      <w:sz w:val="20"/>
                    </w:rPr>
                    <w:t>支持通过标准以太网接口进行堆叠；</w:t>
                  </w:r>
                </w:p>
                <w:p>
                  <w:pPr>
                    <w:pStyle w:val="null3"/>
                    <w:numPr>
                      <w:ilvl w:val="0"/>
                      <w:numId w:val="1"/>
                    </w:numPr>
                    <w:spacing w:after="165"/>
                  </w:pPr>
                  <w:r>
                    <w:rPr>
                      <w:rFonts w:ascii="仿宋_GB2312" w:hAnsi="仿宋_GB2312" w:cs="仿宋_GB2312" w:eastAsia="仿宋_GB2312"/>
                      <w:sz w:val="20"/>
                    </w:rPr>
                    <w:t>支持策略</w:t>
                  </w:r>
                  <w:r>
                    <w:rPr>
                      <w:rFonts w:ascii="仿宋_GB2312" w:hAnsi="仿宋_GB2312" w:cs="仿宋_GB2312" w:eastAsia="仿宋_GB2312"/>
                      <w:sz w:val="20"/>
                    </w:rPr>
                    <w:t>VLAN，支持MAC地址；支持Vxlan和OpenFlow；</w:t>
                  </w:r>
                </w:p>
                <w:p>
                  <w:pPr>
                    <w:pStyle w:val="null3"/>
                    <w:numPr>
                      <w:ilvl w:val="0"/>
                      <w:numId w:val="1"/>
                    </w:numPr>
                    <w:spacing w:after="165"/>
                  </w:pPr>
                  <w:r>
                    <w:rPr>
                      <w:rFonts w:ascii="仿宋_GB2312" w:hAnsi="仿宋_GB2312" w:cs="仿宋_GB2312" w:eastAsia="仿宋_GB2312"/>
                      <w:sz w:val="20"/>
                    </w:rPr>
                    <w:t>三年原厂质保服务。</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台</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安全防护服务</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安全巡检</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针对安全设备物理状态、安全配置、安全告警日志进行分析，定期进行巡检，形成安全巡检报告。</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次</w:t>
                  </w:r>
                </w:p>
              </w:tc>
              <w:tc>
                <w:tcPr>
                  <w:tcW w:type="dxa" w:w="30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不少于</w:t>
                  </w:r>
                  <w:r>
                    <w:rPr>
                      <w:rFonts w:ascii="仿宋_GB2312" w:hAnsi="仿宋_GB2312" w:cs="仿宋_GB2312" w:eastAsia="仿宋_GB2312"/>
                      <w:sz w:val="21"/>
                    </w:rPr>
                    <w:t>2名工程师</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漏洞扫描</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利用专业漏洞扫描工具对网络、主机、数据库等做全面安全扫描及加固，范围包括系统漏洞、应用漏洞、</w:t>
                  </w:r>
                  <w:r>
                    <w:rPr>
                      <w:rFonts w:ascii="仿宋_GB2312" w:hAnsi="仿宋_GB2312" w:cs="仿宋_GB2312" w:eastAsia="仿宋_GB2312"/>
                      <w:sz w:val="20"/>
                      <w:color w:val="000000"/>
                    </w:rPr>
                    <w:t>WEB漏洞、配置合规性检查，提供相应评估报告，至少每季度一次，并协助用户完成加固整改。</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次</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不少于</w:t>
                  </w:r>
                  <w:r>
                    <w:rPr>
                      <w:rFonts w:ascii="仿宋_GB2312" w:hAnsi="仿宋_GB2312" w:cs="仿宋_GB2312" w:eastAsia="仿宋_GB2312"/>
                      <w:sz w:val="21"/>
                    </w:rPr>
                    <w:t>4名工程师</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风险评估</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进行风险评估，对能够消除的风险采取主动措施，消除风险发生的可能；对不能够消除的风险采取预防措施，以减小损失发生的可能性及损失程度；接受风险较小或控制成本过高的残余风险；将可以通过转移的风险全部或部分转移给另一方。</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次</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不少于</w:t>
                  </w:r>
                  <w:r>
                    <w:rPr>
                      <w:rFonts w:ascii="仿宋_GB2312" w:hAnsi="仿宋_GB2312" w:cs="仿宋_GB2312" w:eastAsia="仿宋_GB2312"/>
                      <w:sz w:val="21"/>
                    </w:rPr>
                    <w:t>4名工程师</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应急服务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根据事件类别，提供全年的应急响应服务，通过远程和现场支持的形式协助用户对遇到的突发性安全事件进行紧急分析和处理。主要工作内容包括：突发事件相关信息的收集、事件的分析、报告提交、问题解决建议等。紧急事件主要包括：勒索病毒、病毒和蠕虫事件、黑客入侵事件、数据泄露、挖矿事件等。</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6</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次</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不少于</w:t>
                  </w:r>
                  <w:r>
                    <w:rPr>
                      <w:rFonts w:ascii="仿宋_GB2312" w:hAnsi="仿宋_GB2312" w:cs="仿宋_GB2312" w:eastAsia="仿宋_GB2312"/>
                      <w:sz w:val="21"/>
                    </w:rPr>
                    <w:t>4名工程师</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安全加固</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针对风险评估、渗透测试、漏洞扫描发现的安全风险，协助进行全面加固，加固完成后进行全面复测，确保安全加固有效性。</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4</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次</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不少于</w:t>
                  </w:r>
                  <w:r>
                    <w:rPr>
                      <w:rFonts w:ascii="仿宋_GB2312" w:hAnsi="仿宋_GB2312" w:cs="仿宋_GB2312" w:eastAsia="仿宋_GB2312"/>
                      <w:sz w:val="21"/>
                    </w:rPr>
                    <w:t>4名工程师</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重要时期安全保障服务</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为确保在重保期间业务系统持续、稳定的运行，确保重要业务操作行为的可审计，抵御黑客、恶意代码、病毒等对用户信息系统的攻击与破坏，防止对用户信息系统的非法、非授权访问、恶意篡改、挂马等等，在重大活动时期（两会、重大节日等），通过派遣专业工程师开展安全检查、驻场保障以及应急值守等，对重要系统进行安全保障。</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次</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不少于</w:t>
                  </w:r>
                  <w:r>
                    <w:rPr>
                      <w:rFonts w:ascii="仿宋_GB2312" w:hAnsi="仿宋_GB2312" w:cs="仿宋_GB2312" w:eastAsia="仿宋_GB2312"/>
                      <w:sz w:val="21"/>
                    </w:rPr>
                    <w:t>4名工程师</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安全技术培训</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常见操作系统、中间件、数据库的安全配置与管理，常见</w:t>
                  </w:r>
                  <w:r>
                    <w:rPr>
                      <w:rFonts w:ascii="仿宋_GB2312" w:hAnsi="仿宋_GB2312" w:cs="仿宋_GB2312" w:eastAsia="仿宋_GB2312"/>
                      <w:sz w:val="21"/>
                      <w:color w:val="000000"/>
                    </w:rPr>
                    <w:t>web安全技术讲解，常见工具的使用等。</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次</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不少于</w:t>
                  </w:r>
                  <w:r>
                    <w:rPr>
                      <w:rFonts w:ascii="仿宋_GB2312" w:hAnsi="仿宋_GB2312" w:cs="仿宋_GB2312" w:eastAsia="仿宋_GB2312"/>
                      <w:sz w:val="21"/>
                    </w:rPr>
                    <w:t>3名工程师</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安全意识培训</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针对高级管理层或者单位全员开展安全意识培训，旨在提供全员安全意识。</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12</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次</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不少于</w:t>
                  </w:r>
                  <w:r>
                    <w:rPr>
                      <w:rFonts w:ascii="仿宋_GB2312" w:hAnsi="仿宋_GB2312" w:cs="仿宋_GB2312" w:eastAsia="仿宋_GB2312"/>
                      <w:sz w:val="21"/>
                    </w:rPr>
                    <w:t>3名工程师</w:t>
                  </w:r>
                </w:p>
              </w:tc>
            </w:tr>
            <w:tr>
              <w:tc>
                <w:tcPr>
                  <w:tcW w:type="dxa" w:w="1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7</w:t>
                  </w:r>
                </w:p>
              </w:tc>
              <w:tc>
                <w:tcPr>
                  <w:tcW w:type="dxa" w:w="2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等保测评</w:t>
                  </w:r>
                </w:p>
              </w:tc>
              <w:tc>
                <w:tcPr>
                  <w:tcW w:type="dxa" w:w="2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三级</w:t>
                  </w:r>
                </w:p>
              </w:tc>
              <w:tc>
                <w:tcPr>
                  <w:tcW w:type="dxa" w:w="11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依据国家等级保护测评工作标准</w:t>
                  </w:r>
                  <w:r>
                    <w:rPr>
                      <w:rFonts w:ascii="仿宋_GB2312" w:hAnsi="仿宋_GB2312" w:cs="仿宋_GB2312" w:eastAsia="仿宋_GB2312"/>
                      <w:sz w:val="21"/>
                    </w:rPr>
                    <w:t>GB/T22239-2019《信息安全技术 网络安全等级保护基本要求》、GB/T28448-2019《信息安全技术 网络安全等级保护测评要求》，完成物理安全环境、安全通信网络、安全区域边界、安全计算环境、安全管理制度等10个方面对信息系统实施等级保护测评服务，并出具系统测评报告，测评由第三方测评机构完成。</w:t>
                  </w:r>
                  <w:r>
                    <w:rPr>
                      <w:rFonts w:ascii="仿宋_GB2312" w:hAnsi="仿宋_GB2312" w:cs="仿宋_GB2312" w:eastAsia="仿宋_GB2312"/>
                      <w:sz w:val="21"/>
                    </w:rPr>
                    <w:t>★</w:t>
                  </w:r>
                  <w:r>
                    <w:rPr>
                      <w:rFonts w:ascii="仿宋_GB2312" w:hAnsi="仿宋_GB2312" w:cs="仿宋_GB2312" w:eastAsia="仿宋_GB2312"/>
                      <w:sz w:val="21"/>
                    </w:rPr>
                    <w:t>第三方测评机构需具有</w:t>
                  </w:r>
                  <w:r>
                    <w:rPr>
                      <w:rFonts w:ascii="仿宋_GB2312" w:hAnsi="仿宋_GB2312" w:cs="仿宋_GB2312" w:eastAsia="仿宋_GB2312"/>
                      <w:sz w:val="21"/>
                    </w:rPr>
                    <w:t>《网络安全等级测评与检测评估机构服务认证证书》及《工业信息安全测试评估机构能力认定证书》并提供证明文件</w:t>
                  </w:r>
                  <w:r>
                    <w:rPr>
                      <w:rFonts w:ascii="仿宋_GB2312" w:hAnsi="仿宋_GB2312" w:cs="仿宋_GB2312" w:eastAsia="仿宋_GB2312"/>
                      <w:sz w:val="21"/>
                    </w:rPr>
                    <w:t>。</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1</w:t>
                  </w:r>
                </w:p>
              </w:tc>
              <w:tc>
                <w:tcPr>
                  <w:tcW w:type="dxa" w:w="1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1"/>
                    </w:rPr>
                    <w:t>项</w:t>
                  </w:r>
                </w:p>
              </w:tc>
              <w:tc>
                <w:tcPr>
                  <w:tcW w:type="dxa" w:w="3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交货期为7个日历天，测评服务期为30个工作日。</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西安市秦汉新城秦苑七路199号兰池大厦A座</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等保评测验收通过后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全部设备到场后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货物和服务符合现行的国家标准或国家行政部门颁布的法律法规、规章制度等。满足采购人需求，符合合同要求，谈判文件要求。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整机设备保修期三年，含硬件保修和软件升级维护，不包含消耗品、电力供应问题引起的损坏及人为损坏。</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所有因本合同引起的或与本合同有关的任何争议将通过双方友好协商解决。如果双方不能通过友好协商解决争议，则任何一方均可采取下述第（2）种争议解决方式： （1）将该争议提交[ 西安市 ]仲裁委员会，按照申请仲裁时该会的仲裁规则进行仲裁。仲裁在[ 西安市 ]进行。仲裁语言为中文。仲裁裁决是终局的，对双方均有约束力。仲裁费用由败诉方承担。 （2）向甲方所在地有管辖权的人民法院起诉。</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一、服务要求（如对人员配置、专业设备、服务标准等） （一） 售后服务要求 1、供应商或设备厂商本地服务团队为采购的硬件及服务提供持续的本地化支持服务。包括但不限于电话或现场技术咨询、电话或现场故障分析和处理。在接到报障电话后下一个工作日内赶到现场进行处理。要求供应商在西安本地具有分支机构或办事处并且具有常驻的本地化技术支持人员20人以上。 2、保修期：★整机设备保修期三年，含硬件保修和软件升级维护，不包含消耗品、电力供应问题引起的损坏及人为损坏； 3、故障响应时间：30 分钟电话响应； 4、故障修复时间：12 小时内修复一般故障问题，48小时内修复重大故障问题。 （二） 质量保证要求 1、供应商必须提供招标文件中要求的全部内容，完成整个项目的安装测试、联调工作，负责解决全部技术问题。若本招标文件中的产品要求出现不合理或不完整时，供应商有责任和义务提出补充修改方案。投标厂商需要有项目实施的质量保证体系，需要有相关的计划和策略。 2、供应商应在投标文件中详细说明定制范围界定及相关争议问题、售后服务体系和运作方式。 3、供应商应按采购人实际需求做出采购人认可的方案，并按照方案完成整个项目的实施，保证系统、产品的正常使用。实施完成后的系统、产品不得影响采购人原有各系统的性能和正常使用，不能变更采购人计划外的信息系统软、硬件的架构。 4、在实施过程中所需的一切工具、设备等均由供应商负责解决。供应商应保证参与项目实施的人员为资深工程师，并在整个实施过程中保证实施团队的稳定。 5、系统实施时供应商有义务配合采购人对系统进行技术支持并协助制定系统策略，对采购人的技术人员所提出的技术问题给予满意的答复，并向采购人提供实施过程中的各种文档资料。 （三）培训要求 供应商需制订详细的技术培训计划并提供相应硬件的安装配置手册(以电子和纸质两种方式提供)，对采购人的技术人员进行常规技术培训（系统的使用、日常运维、故障判定和基本维护工作等），每次培训课时不小于8课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中小企业声明函 残疾人福利性单位声明函 供应商应提交的相关资格证明材料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是法人的，提供近三年（2022-2024年）年度任意一年经审计的财务审计报告（成立时间至提交响应文件截止时间不足一年的单位，可提供成立后任意时间段的资产负债表）或其基本存款账户开户银行出具的本年度资信证明，部分其他组织和自然人，没有经审计的财务报告，应提供银行出具的资信证明；或财政部门认可的政府采购专业担保机构出具的磋商担保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提供2024年1月1日以来任意一个月税收缴纳证明（至少包含增值税或企业所得税其中一种），依法免税的单位应提供相关证明材料；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提供2024年1月1日以来任意一个月的社会保障资金缴存单据或社保机构开具的社会保险参保缴费情况证明，依法不需要缴纳社会保障资金的单位应提供相关证明材料；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具备履行合同所必需的设备和专业技术能力的证明材料（书面声明）；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企业法人具有有效的营业执照（具备统一社会信用代码）；事业法人应具有有效的事业单位法人证；其他组织应具有合法证明文件；自然人具有身份证明文件；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代表应提供法定代表人（单位负责人）授权书（附法定代表人（单位负责人）及被授权人身份证复印件），（法定代表人（单位负责人）直接参加只须提供法定代表人（单位负责人）身份证明书及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本项目不接受联合体磋商，单位负责人为同一人或者存在直接控股、管理关系的不同单位，不得参加同一合同项下的政府采购活动，为采购项目提供整体设计、规范编制或者项目管理、监理、检测等服务的供应商，不得再参加该采购项目。</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谈判报价</w:t>
            </w:r>
          </w:p>
        </w:tc>
        <w:tc>
          <w:tcPr>
            <w:tcW w:type="dxa" w:w="3322"/>
          </w:tcPr>
          <w:p>
            <w:pPr>
              <w:pStyle w:val="null3"/>
            </w:pPr>
            <w:r>
              <w:rPr>
                <w:rFonts w:ascii="仿宋_GB2312" w:hAnsi="仿宋_GB2312" w:cs="仿宋_GB2312" w:eastAsia="仿宋_GB2312"/>
              </w:rPr>
              <w:t>报价是否超过预算或最高限价。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交货期及测评服务期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是否满足谈判文件要求</w:t>
            </w:r>
          </w:p>
        </w:tc>
        <w:tc>
          <w:tcPr>
            <w:tcW w:type="dxa" w:w="1661"/>
          </w:tcPr>
          <w:p>
            <w:pPr>
              <w:pStyle w:val="null3"/>
            </w:pPr>
            <w:r>
              <w:rPr>
                <w:rFonts w:ascii="仿宋_GB2312" w:hAnsi="仿宋_GB2312" w:cs="仿宋_GB2312" w:eastAsia="仿宋_GB2312"/>
              </w:rPr>
              <w:t>响应文件封面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签字和盖章</w:t>
            </w:r>
          </w:p>
        </w:tc>
        <w:tc>
          <w:tcPr>
            <w:tcW w:type="dxa" w:w="3322"/>
          </w:tcPr>
          <w:p>
            <w:pPr>
              <w:pStyle w:val="null3"/>
            </w:pPr>
            <w:r>
              <w:rPr>
                <w:rFonts w:ascii="仿宋_GB2312" w:hAnsi="仿宋_GB2312" w:cs="仿宋_GB2312" w:eastAsia="仿宋_GB2312"/>
              </w:rPr>
              <w:t>签字和盖章均符合谈判文件要求，且无遗漏。</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符合采购文件的要求（自提交响应文件的截止之日起90个日历日）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谈判响应文件内容</w:t>
            </w:r>
          </w:p>
        </w:tc>
        <w:tc>
          <w:tcPr>
            <w:tcW w:type="dxa" w:w="3322"/>
          </w:tcPr>
          <w:p>
            <w:pPr>
              <w:pStyle w:val="null3"/>
            </w:pPr>
            <w:r>
              <w:rPr>
                <w:rFonts w:ascii="仿宋_GB2312" w:hAnsi="仿宋_GB2312" w:cs="仿宋_GB2312" w:eastAsia="仿宋_GB2312"/>
              </w:rPr>
              <w:t>谈判响应文件内容齐全、无遗漏</w:t>
            </w:r>
          </w:p>
        </w:tc>
        <w:tc>
          <w:tcPr>
            <w:tcW w:type="dxa" w:w="1661"/>
          </w:tcPr>
          <w:p>
            <w:pPr>
              <w:pStyle w:val="null3"/>
            </w:pPr>
            <w:r>
              <w:rPr>
                <w:rFonts w:ascii="仿宋_GB2312" w:hAnsi="仿宋_GB2312" w:cs="仿宋_GB2312" w:eastAsia="仿宋_GB2312"/>
              </w:rPr>
              <w:t>产品技术参数表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技术条款</w:t>
            </w:r>
          </w:p>
        </w:tc>
        <w:tc>
          <w:tcPr>
            <w:tcW w:type="dxa" w:w="3322"/>
          </w:tcPr>
          <w:p>
            <w:pPr>
              <w:pStyle w:val="null3"/>
            </w:pPr>
            <w:r>
              <w:rPr>
                <w:rFonts w:ascii="仿宋_GB2312" w:hAnsi="仿宋_GB2312" w:cs="仿宋_GB2312" w:eastAsia="仿宋_GB2312"/>
              </w:rPr>
              <w:t>技术条款若未响应或者不满足，将视为无效响应</w:t>
            </w:r>
          </w:p>
        </w:tc>
        <w:tc>
          <w:tcPr>
            <w:tcW w:type="dxa" w:w="1661"/>
          </w:tcPr>
          <w:p>
            <w:pPr>
              <w:pStyle w:val="null3"/>
            </w:pPr>
            <w:r>
              <w:rPr>
                <w:rFonts w:ascii="仿宋_GB2312" w:hAnsi="仿宋_GB2312" w:cs="仿宋_GB2312" w:eastAsia="仿宋_GB2312"/>
              </w:rPr>
              <w:t>产品技术参数表 标的清单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法律法规和实质性要求</w:t>
            </w:r>
          </w:p>
        </w:tc>
        <w:tc>
          <w:tcPr>
            <w:tcW w:type="dxa" w:w="3322"/>
          </w:tcPr>
          <w:p>
            <w:pPr>
              <w:pStyle w:val="null3"/>
            </w:pPr>
            <w:r>
              <w:rPr>
                <w:rFonts w:ascii="仿宋_GB2312" w:hAnsi="仿宋_GB2312" w:cs="仿宋_GB2312" w:eastAsia="仿宋_GB2312"/>
              </w:rPr>
              <w:t>是否符合法律法规和采购文件规定的其他实质性要求。</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本项目授权谈判小组直接确认成交供应商，确认后代理机构在陕西省政府采购网上发布成交结果公告，同时向成交供应商发出成交通知书。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详见附件：采购合同-等级保护.docx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