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版本号：LZBC2025-85420250530001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2025年度人民警察服装购置项目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LZBC2025-854</w:t>
      </w:r>
      <w:r>
        <w:br/>
      </w:r>
      <w:r>
        <w:br/>
      </w:r>
      <w:r>
        <w:br/>
      </w:r>
    </w:p>
    <w:p>
      <w:pPr>
        <w:pStyle w:val="null3"/>
        <w:jc w:val="center"/>
        <w:outlineLvl w:val="2"/>
      </w:pPr>
      <w:r>
        <w:rPr>
          <w:rFonts w:ascii="仿宋_GB2312" w:hAnsi="仿宋_GB2312" w:cs="仿宋_GB2312" w:eastAsia="仿宋_GB2312"/>
          <w:sz w:val="28"/>
          <w:b/>
        </w:rPr>
        <w:t>西安市强制隔离戒毒所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西安市强制隔离戒毒所</w:t>
      </w:r>
      <w:r>
        <w:rPr>
          <w:rFonts w:ascii="仿宋_GB2312" w:hAnsi="仿宋_GB2312" w:cs="仿宋_GB2312" w:eastAsia="仿宋_GB2312"/>
        </w:rPr>
        <w:t>委托，拟对</w:t>
      </w:r>
      <w:r>
        <w:rPr>
          <w:rFonts w:ascii="仿宋_GB2312" w:hAnsi="仿宋_GB2312" w:cs="仿宋_GB2312" w:eastAsia="仿宋_GB2312"/>
        </w:rPr>
        <w:t>2025年度人民警察服装购置项目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LZBC2025-854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2025年度人民警察服装购置项目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司法部转发公安部、财政部《关于印发&lt;公安机关人民警察制式服装及其标志供应办法&gt;的通知》等相关文件精神，对全体在职在编民警按需配发警服，主要采购警服春秋装、警服长裤、警用皮鞋、警用皮带等多个警服品种，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采购包1（2025年度人民警察服装购置项目）：属于专门面向中小企业采购。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2、投标产品中制式警用服装的生产商须是经司法部《关于司法行政系统警察服装生产企业目录有关事宜的通知》([2015]司计字 128 号)中确定的司法行政系统警用服装类定点生产企业：投标产品中制式警用服装的生产商须是经司法部《关于司法行政系统警察服装生产企业目录有关事宜的通知》([2015]司计字 128 号)中确定的司法行政系统警用服装类定点生产企业，提供加盖公章的名录复印件</w:t>
      </w:r>
    </w:p>
    <w:p>
      <w:pPr>
        <w:pStyle w:val="null3"/>
      </w:pPr>
      <w:r>
        <w:rPr>
          <w:rFonts w:ascii="仿宋_GB2312" w:hAnsi="仿宋_GB2312" w:cs="仿宋_GB2312" w:eastAsia="仿宋_GB2312"/>
        </w:rPr>
        <w:t>3、财务状况报告：供应商2023年或2024年经审计的财务报告或基本开户银行出具的资信证明或政府采购专业担保机构出具的投标担保函，（事业单位可不提供）供应商需在项目电子化交易系统中按要求上传相应证明文件</w:t>
      </w:r>
    </w:p>
    <w:p>
      <w:pPr>
        <w:pStyle w:val="null3"/>
      </w:pPr>
      <w:r>
        <w:rPr>
          <w:rFonts w:ascii="仿宋_GB2312" w:hAnsi="仿宋_GB2312" w:cs="仿宋_GB2312" w:eastAsia="仿宋_GB2312"/>
        </w:rPr>
        <w:t>4、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pPr>
      <w:r>
        <w:rPr>
          <w:rFonts w:ascii="仿宋_GB2312" w:hAnsi="仿宋_GB2312" w:cs="仿宋_GB2312" w:eastAsia="仿宋_GB2312"/>
        </w:rPr>
        <w:t>8、本项目专门面向中小企业采购（残疾人福利性单位、监狱企业视同小型、微型企业）：供应商需提供《中小企业声明函》（监狱企业的证明文件或《残疾人福利性单位声明函》）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西安市雁塔区三爻村共建路九号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崔馨月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029-87694148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代理服务费收费标准：1、本项目招标代理服务费以中标金额作为收费基数，参照计价格[2002]1980号、发改价格[2011]534号、发改办价格〔2003〕857号中货物类执行。 2、中标单位在领取中标通知书之前，须向代理机构支付招标代理服务费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西安市强制隔离戒毒所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产品工艺标准执行公安部标准，验收标准按《中华人民共和国公共安全行业标准》执行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司法部转发公安部、财政部《关于印发&lt;公安机关人民警察制式服装及其标志供应办法&gt;的通知》等相关文件精神，对全体在职在编民警按需配发警服，主要采购警服春秋装、警服长裤、警用皮鞋、警用皮带等多个警服品种，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14"/>
              <w:gridCol w:w="1591"/>
              <w:gridCol w:w="635"/>
              <w:gridCol w:w="635"/>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被装名称</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数量</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指导价（元）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大檐帽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女卷沿帽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警便帽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礼仪大檐帽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男春秋常服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478</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女春秋常服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478</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女冬常服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528</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男春秋执勤服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400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女春秋执勤服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400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男冬季执勤服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545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女冬季执勤服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545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款男夏季执勤服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123</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款女夏季执勤服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123</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男夏训练服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187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女夏训练服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187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男冬训练服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女冬训练服</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款男警察长袖制式衬衣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128</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款女警察长袖制式衬衣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128</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款男警察内穿衬衣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款女警察内穿衬衣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款男高级警官内穿衬衣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女单裤（夏）</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男单裤（夏）</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裙子</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男长袖圆领针织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恤衫（毛）</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167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女长袖圆领针织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恤衫（毛）</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167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男春秋服单裤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女春秋服单裤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男冬服单裤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女冬服单裤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177</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警察男多功能服</w:t>
                  </w:r>
                  <w:r>
                    <w:rPr>
                      <w:rFonts w:ascii="仿宋_GB2312" w:hAnsi="仿宋_GB2312" w:cs="仿宋_GB2312" w:eastAsia="仿宋_GB2312"/>
                      <w:sz w:val="20"/>
                      <w:color w:val="000000"/>
                    </w:rPr>
                    <w:t>(</w:t>
                  </w:r>
                  <w:r>
                    <w:rPr>
                      <w:rFonts w:ascii="仿宋_GB2312" w:hAnsi="仿宋_GB2312" w:cs="仿宋_GB2312" w:eastAsia="仿宋_GB2312"/>
                      <w:sz w:val="20"/>
                      <w:color w:val="000000"/>
                    </w:rPr>
                    <w:t>上衣</w:t>
                  </w:r>
                  <w:r>
                    <w:rPr>
                      <w:rFonts w:ascii="仿宋_GB2312" w:hAnsi="仿宋_GB2312" w:cs="仿宋_GB2312" w:eastAsia="仿宋_GB2312"/>
                      <w:sz w:val="20"/>
                      <w:color w:val="000000"/>
                    </w:rPr>
                    <w:t>)</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356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警察女多功能服</w:t>
                  </w:r>
                  <w:r>
                    <w:rPr>
                      <w:rFonts w:ascii="仿宋_GB2312" w:hAnsi="仿宋_GB2312" w:cs="仿宋_GB2312" w:eastAsia="仿宋_GB2312"/>
                      <w:sz w:val="20"/>
                      <w:color w:val="000000"/>
                    </w:rPr>
                    <w:t>(</w:t>
                  </w:r>
                  <w:r>
                    <w:rPr>
                      <w:rFonts w:ascii="仿宋_GB2312" w:hAnsi="仿宋_GB2312" w:cs="仿宋_GB2312" w:eastAsia="仿宋_GB2312"/>
                      <w:sz w:val="20"/>
                      <w:color w:val="000000"/>
                    </w:rPr>
                    <w:t>上衣</w:t>
                  </w:r>
                  <w:r>
                    <w:rPr>
                      <w:rFonts w:ascii="仿宋_GB2312" w:hAnsi="仿宋_GB2312" w:cs="仿宋_GB2312" w:eastAsia="仿宋_GB2312"/>
                      <w:sz w:val="20"/>
                      <w:color w:val="000000"/>
                    </w:rPr>
                    <w:t>)</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356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警察男多功能服（套装）</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526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男高警大衣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1370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男长袖圆领针织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91</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女长袖圆领针织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91</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女短袖圆领针织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82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男短袖圆领针织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恤衫（棉）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82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 xml:space="preserve">V </w:t>
                  </w:r>
                  <w:r>
                    <w:rPr>
                      <w:rFonts w:ascii="仿宋_GB2312" w:hAnsi="仿宋_GB2312" w:cs="仿宋_GB2312" w:eastAsia="仿宋_GB2312"/>
                      <w:sz w:val="20"/>
                      <w:color w:val="000000"/>
                    </w:rPr>
                    <w:t>领毛针织裤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 xml:space="preserve">V </w:t>
                  </w:r>
                  <w:r>
                    <w:rPr>
                      <w:rFonts w:ascii="仿宋_GB2312" w:hAnsi="仿宋_GB2312" w:cs="仿宋_GB2312" w:eastAsia="仿宋_GB2312"/>
                      <w:sz w:val="20"/>
                      <w:color w:val="000000"/>
                    </w:rPr>
                    <w:t>领毛针织裤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 xml:space="preserve">V </w:t>
                  </w:r>
                  <w:r>
                    <w:rPr>
                      <w:rFonts w:ascii="仿宋_GB2312" w:hAnsi="仿宋_GB2312" w:cs="仿宋_GB2312" w:eastAsia="仿宋_GB2312"/>
                      <w:sz w:val="20"/>
                      <w:color w:val="000000"/>
                    </w:rPr>
                    <w:t>领毛针织上衣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 xml:space="preserve">V </w:t>
                  </w:r>
                  <w:r>
                    <w:rPr>
                      <w:rFonts w:ascii="仿宋_GB2312" w:hAnsi="仿宋_GB2312" w:cs="仿宋_GB2312" w:eastAsia="仿宋_GB2312"/>
                      <w:sz w:val="20"/>
                      <w:color w:val="000000"/>
                    </w:rPr>
                    <w:t>领毛针织上衣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款男单皮鞋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款女单皮鞋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款男棉皮鞋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341</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款女棉皮鞋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341</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中筒男雨靴</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中筒女雨靴</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款男春秋作训鞋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款女春秋作训鞋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款男皮凉鞋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款女皮凉鞋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276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款男夏作训鞋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款女夏作训鞋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金属帽徽（男）</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领花</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4.4</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金属胸徽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4.4</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丝织胸徽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83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领带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男领带夹</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女领带夹</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内腰带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176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外腰带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编制腰带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男雨衣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男绒手套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女绒手套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男白色针织手套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女白色针织手套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女雨衣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216</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男皮手套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女皮手套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79</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警用太阳镜（男款）</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警用太阳镜（女款）</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202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男特警夏袜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558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女特警夏袜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72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男特警冬袜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416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女特警冬袜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双面马甲</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56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260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双面马甲</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260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针织翻领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针织翻领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作训鞋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288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350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运动短裤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86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运动短裤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防晒衣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108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180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防晒衣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180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运动短袖（圆领）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117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运动短袖（圆领）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135</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女</w:t>
                  </w:r>
                  <w:r>
                    <w:rPr>
                      <w:rFonts w:ascii="仿宋_GB2312" w:hAnsi="仿宋_GB2312" w:cs="仿宋_GB2312" w:eastAsia="仿宋_GB2312"/>
                      <w:sz w:val="20"/>
                      <w:color w:val="000000"/>
                    </w:rPr>
                    <w:t>警</w:t>
                  </w:r>
                  <w:r>
                    <w:rPr>
                      <w:rFonts w:ascii="仿宋_GB2312" w:hAnsi="仿宋_GB2312" w:cs="仿宋_GB2312" w:eastAsia="仿宋_GB2312"/>
                      <w:sz w:val="20"/>
                      <w:color w:val="000000"/>
                    </w:rPr>
                    <w:t>立领针织马甲</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男</w:t>
                  </w:r>
                  <w:r>
                    <w:rPr>
                      <w:rFonts w:ascii="仿宋_GB2312" w:hAnsi="仿宋_GB2312" w:cs="仿宋_GB2312" w:eastAsia="仿宋_GB2312"/>
                      <w:sz w:val="20"/>
                      <w:color w:val="000000"/>
                    </w:rPr>
                    <w:t>警</w:t>
                  </w:r>
                  <w:r>
                    <w:rPr>
                      <w:rFonts w:ascii="仿宋_GB2312" w:hAnsi="仿宋_GB2312" w:cs="仿宋_GB2312" w:eastAsia="仿宋_GB2312"/>
                      <w:sz w:val="20"/>
                      <w:color w:val="000000"/>
                    </w:rPr>
                    <w:t>立领针织马甲</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220</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尼龙腰带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67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150</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工艺标准：执行公安部标准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货物全部到货抽检合格后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自货物全部验收合格且售后完成后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1.乙方将人民警察服装品种送达甲方指定地点，同时向甲方提供主要原材料的采购供货合同文本及警服质量检测合格报告，甲方通过多种形式进行验收。 2.验收标准按《中华人民共和国公共安全行业标准》执行。 3.甲方在验收中如发现服装的质量和材料不符合合同规定的，应在30天内向乙方提出，并有权退货或部分退货，拒付不符合合同规定的部分货款。 4.验收中不符合合同规定质量水平的产品，超过本合同总量的10％时，视为整批货物不合格，甲方有权提出退货。 5.乙方应在接到甲方提出的异议后3天内给予答复，提出可行的解决方案并负责实施。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乙方对装箱的服装品种按要求装箱。以警服具体着装单位（着装单位计算到科、队）为批次整体计数装箱，不足整箱的要单独进行包装，不得与其他着装单位的混装。甲方要求对产品的包装要达到如下标准： 1.对单件产品要在明显位置标明品名、单位、民警姓名、性别、号型等内容。 2.包装箱两侧要贴有装箱单，注明箱号、品名、单位、民警姓名、性别、号型，装箱单要清晰、完整。 3.交货时要提供货物明细单一式两份。明细单应该注明货物数量(总数、男式、女式数量等)箱数、装箱顺序、品名、单位、民警姓名、性别及号型等。 4.对于甲方没有明确提出包装要求的服装品种，乙方应该严格按照招标文件中规定的技术标准执行。 包装方式：涉及的商品包装和快递包装，均应符合《商品包装政府采购需求标准（试行）》《快递包装政府采购需求标准（试行）》的要求，包装应适应于远距离运输、防潮、防震、防锈和防野蛮装卸，以确保货物安全无损运抵指定地点。 运输： （一）运输由乙方负责，运杂费已包含在合同总价内，包括从货物供应地点至交货地点所含的运输费、装卸费、仓储费、保险费等。 （二）运输方式由乙方自行选择，但必须保证按期交货。 （三）因运输产生的一切风险及质量问题均由乙方承担。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供货到位、采购方验收合格之日起三个月。质保期内产品实施“三包”。如发现有不合体、未使用的警服，供货方免费负责包换；如发现质量不合格的警服，供货方负责包修、包换。（2）产品服务期：一年。服务期内，供货方向采购方提供产品使用咨询、指导和产品质保规定等服务事项。有特定服务要求的，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 3.本项目核心产品为： 单皮鞋、春秋常服、作训鞋、单裤。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5、样品递交细则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标的清单</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投标产品中制式警用服装的生产商须是经司法部《关于司法行政系统警察服装生产企业目录有关事宜的通知》([2015]司计字 128 号)中确定的司法行政系统警用服装类定点生产企业</w:t>
            </w:r>
          </w:p>
        </w:tc>
        <w:tc>
          <w:tcPr>
            <w:tcW w:type="dxa" w:w="3322"/>
          </w:tcPr>
          <w:p>
            <w:pPr>
              <w:pStyle w:val="null3"/>
            </w:pPr>
            <w:r>
              <w:rPr>
                <w:rFonts w:ascii="仿宋_GB2312" w:hAnsi="仿宋_GB2312" w:cs="仿宋_GB2312" w:eastAsia="仿宋_GB2312"/>
              </w:rPr>
              <w:t>投标产品中制式警用服装的生产商须是经司法部《关于司法行政系统警察服装生产企业目录有关事宜的通知》([2015]司计字 128 号)中确定的司法行政系统警用服装类定点生产企业，提供加盖公章的名录复印件</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供应商2023年或2024年经审计的财务报告或基本开户银行出具的资信证明或政府采购专业担保机构出具的投标担保函，（事业单位可不提供）供应商需在项目电子化交易系统中按要求上传相应证明文件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格式.docx 开标一览表 投标函 标的清单</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格式.docx 开标一览表 投标函 标的清单</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报价唯一，且总报价及单价均没有高于采购预算或招标文件规定的最高限价</w:t>
            </w:r>
          </w:p>
        </w:tc>
        <w:tc>
          <w:tcPr>
            <w:tcW w:type="dxa" w:w="1661"/>
          </w:tcPr>
          <w:p>
            <w:pPr>
              <w:pStyle w:val="null3"/>
            </w:pPr>
            <w:r>
              <w:rPr>
                <w:rFonts w:ascii="仿宋_GB2312" w:hAnsi="仿宋_GB2312" w:cs="仿宋_GB2312" w:eastAsia="仿宋_GB2312"/>
              </w:rPr>
              <w:t>格式.docx 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至少包括：①项目理解及部署；②服装制作工艺流程；③供货组织措施；④生产设备介绍；⑤运输方案；⑥项目验收等方面。以上内容专门针对本项目实际需求的得12分，每缺一项内容扣2分，若上述内容存在瑕疵，每存在1处瑕疵扣1分，扣完为止。 “瑕疵”指内容不完整或缺少关键点，或不适用本项目特性、套用其他项目内容或内容不能满足本项目实际需求等情形。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工作组织进度安排方案</w:t>
            </w:r>
          </w:p>
        </w:tc>
        <w:tc>
          <w:tcPr>
            <w:tcW w:type="dxa" w:w="2492"/>
          </w:tcPr>
          <w:p>
            <w:pPr>
              <w:pStyle w:val="null3"/>
            </w:pPr>
            <w:r>
              <w:rPr>
                <w:rFonts w:ascii="仿宋_GB2312" w:hAnsi="仿宋_GB2312" w:cs="仿宋_GB2312" w:eastAsia="仿宋_GB2312"/>
              </w:rPr>
              <w:t>工作组织进度安排方案至少包括：①项目组织机构及工作流程；②进度安排及进度保障措施；③相应的协调措施；④工作组织进度承诺情况等方面。 以上内容专门针对本项目且符合本项目实际需求的得8分，每缺一项内容扣2分，若上述内容存在瑕疵，每存在1处瑕疵扣1分，扣完为止。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产品质量保证方案至少包括：①质量管理制度；②相应的设计、工艺、加工、检验能力；③服装质量符合国家、行业相关标准要求；④生产器械及人员配置情况；⑤产品质量保证承诺情况等方面。以上内容专门针对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所投服装无假货、水货，检验手续合法有效、无产权纠纷，提供服装来源渠道合法的证明文件（包括生产厂商提供司法部出具的定点生产企业证明，代理商提供服装生产厂家授权书、销售协议、代理协议等），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应急预案至少包括①应急响应安排；②应急工作流程及制度；③相应的应急举措等方面。 以上内容专门针对本项目且符合本项目实际需求的得6分，每缺一项内容扣2分，若上述内容存在瑕疵，每存在1处瑕疵扣1分，扣完为止。“瑕疵”指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售后服务方案至少包括：①售后服务方式；②服务保障体系；③售后人员配置；④处罚办法；⑤售后响应时间及补救措施等方面。 以上内容专门针对本项目实际需求的得10分，每缺一项内容扣2分，若上述内容存在瑕疵，每存在1处瑕疵扣1分，扣完为止。“瑕疵”指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1、做工方面：（5分） 版型挺括、标识清晰、线条平直、锁边平整，计5分；版型、标识、线条、锁边方面基本达到要求，计3分；均能满足，效果一般，计1分； 2、制作材质、工艺：（5分）产品用料材质好、工艺好、精细程度高，计5分；产品用料材质较好、工艺及精细程度较高，计3分；产品用料材质基本符合标准要求、工艺普通，计1分。 3、面料方面：（5分） 面料材质及颜色符合招标文件参数要求，舒适度好、平整、透气性好、有弹性、抗皱，计5分；材料舒适度较好、较平整、透气性较好、较有弹性、比较抗皱，计3分；舒适度、平整性、透气性、弹性、抗皱性普通，计1分。4、样品不全或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供应商提供2022年01月01日至今（以合同签订时间为准）的同类项目业绩，每提供一份得1分，满分6分。注：响应文件中提供合同复印件加盖供应商公章。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产品中制式警用服装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2018款单皮鞋凉皮鞋作训鞋的通知（公装财传发〔2018〕70号）、公安部装备财务局关于启用2018款警用棉皮鞋、毛皮鞋的通知（公装财传发〔2018〕147号）的指导价为标准、且响应单价及总报价下浮比例不允许超过指导价3%的范围，否则价格分为0分。 各有效投标人的评审价中，取最低者作为基准价，各有效投标人的价格评分统一按照下列公式计算： 价格评分＝（基准价÷评审价）×30。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