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版本号：FWMHZC-2025-001(CS)20250508001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2025年度西安市超采区地下水监测及运行维护项目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FWMHZC-2025-001(CS)</w:t>
      </w:r>
      <w:r>
        <w:br/>
      </w:r>
      <w:r>
        <w:br/>
      </w:r>
      <w:r>
        <w:br/>
      </w:r>
    </w:p>
    <w:p>
      <w:pPr>
        <w:pStyle w:val="null3"/>
        <w:jc w:val="center"/>
        <w:outlineLvl w:val="2"/>
      </w:pPr>
      <w:r>
        <w:rPr>
          <w:rFonts w:ascii="仿宋_GB2312" w:hAnsi="仿宋_GB2312" w:cs="仿宋_GB2312" w:eastAsia="仿宋_GB2312"/>
          <w:sz w:val="28"/>
          <w:b/>
        </w:rPr>
        <w:t>西安市水利水土保持工作总站</w:t>
      </w:r>
    </w:p>
    <w:p>
      <w:pPr>
        <w:pStyle w:val="null3"/>
        <w:jc w:val="center"/>
        <w:outlineLvl w:val="2"/>
      </w:pPr>
      <w:r>
        <w:rPr>
          <w:rFonts w:ascii="仿宋_GB2312" w:hAnsi="仿宋_GB2312" w:cs="仿宋_GB2312" w:eastAsia="仿宋_GB2312"/>
          <w:sz w:val="28"/>
          <w:b/>
        </w:rPr>
        <w:t>沣玮沐辉（陕西）项目管理有限公司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沣玮沐辉（陕西）项目管理有限公司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西安市水利水土保持工作总站</w:t>
      </w:r>
      <w:r>
        <w:rPr>
          <w:rFonts w:ascii="仿宋_GB2312" w:hAnsi="仿宋_GB2312" w:cs="仿宋_GB2312" w:eastAsia="仿宋_GB2312"/>
        </w:rPr>
        <w:t>委托，拟对</w:t>
      </w:r>
      <w:r>
        <w:rPr>
          <w:rFonts w:ascii="仿宋_GB2312" w:hAnsi="仿宋_GB2312" w:cs="仿宋_GB2312" w:eastAsia="仿宋_GB2312"/>
        </w:rPr>
        <w:t>2025年度西安市超采区地下水监测及运行维护项目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FWMHZC-2025-001(CS)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2025年度西安市超采区地下水监测及运行维护项目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超采区地下水监测及运行维护项目主要工作内容：开展2025年度西安市超采区地下水监测井监测数据采集工作，逐月完成地下水监测井巡测，逐月完成地下水监测数据报送，完成年度地下水监测数据资料年鉴整编及刊印，完成监测井及附属设施设备的管理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采购包1（2025年度西安市超采区监测及运行维护项目）：属于专门面向中小企业采购。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1、法定代表人委托授权书：法定代表人直接参加投标，须提供法定代表人身份证明；法定代表人授权他人参加投标时，须提供法定代表人委托授权书（附法定代表人、被授权人身份证复印件）。</w:t>
      </w:r>
    </w:p>
    <w:p>
      <w:pPr>
        <w:pStyle w:val="null3"/>
      </w:pPr>
      <w:r>
        <w:rPr>
          <w:rFonts w:ascii="仿宋_GB2312" w:hAnsi="仿宋_GB2312" w:cs="仿宋_GB2312" w:eastAsia="仿宋_GB2312"/>
        </w:rPr>
        <w:t>2、企业信用查询：供应商不得为“信用中国”网站(www.creditchina.gov.cn)中列入“失信被执行人”和“重大税收违法失信主体”名单的供应商，不得为中国政府采购网(www.ccgp.gov.cn)中列入“政府采购严重违法失信行为记录名单”的供应商，不得为其他不符合《中华人民共和国政府采购法》第二十二条规定条件的供应商。将在响应文件递交截止日当天资格审查阶段通过【信用中国（www.creditchina.gov.cn）】、和【中国政府采购网（www.ccgp.gov.cn）】网站对供应商的信用情况进行查询，并将网页截图附在评审资料中（如相关失信记录已失效，供应商需提供相关证明资料，若没有则此项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西安市水利水土保持工作总站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陕西省西安市未央区凤锦路58号沣惠综合服务大楼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西安市水利水土保持工作总站经办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029-62645851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沣玮沐辉（陕西）项目管理有限公司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陕西省西安市经济技术开发区凤谐路8号文景天下写字楼11楼1107室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19829689693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计价格〔2002〕1980号）、《国家发展和改革委员会办公厅关于招标代理服务收费有关问题的通知》（发改办价格〔2003〕857号）及（发改办价格〔2011〕534号）规定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西安市水利水土保持工作总站</w:t>
      </w:r>
      <w:r>
        <w:rPr>
          <w:rFonts w:ascii="仿宋_GB2312" w:hAnsi="仿宋_GB2312" w:cs="仿宋_GB2312" w:eastAsia="仿宋_GB2312"/>
        </w:rPr>
        <w:t>和</w:t>
      </w:r>
      <w:r>
        <w:rPr>
          <w:rFonts w:ascii="仿宋_GB2312" w:hAnsi="仿宋_GB2312" w:cs="仿宋_GB2312" w:eastAsia="仿宋_GB2312"/>
        </w:rPr>
        <w:t>沣玮沐辉（陕西）项目管理有限公司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西安市水利水土保持工作总站</w:t>
      </w:r>
      <w:r>
        <w:rPr>
          <w:rFonts w:ascii="仿宋_GB2312" w:hAnsi="仿宋_GB2312" w:cs="仿宋_GB2312" w:eastAsia="仿宋_GB2312"/>
        </w:rPr>
        <w:t>负责解释。除上述磋商文件内容，其他内容由</w:t>
      </w:r>
      <w:r>
        <w:rPr>
          <w:rFonts w:ascii="仿宋_GB2312" w:hAnsi="仿宋_GB2312" w:cs="仿宋_GB2312" w:eastAsia="仿宋_GB2312"/>
        </w:rPr>
        <w:t>沣玮沐辉（陕西）项目管理有限公司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西安市水利水土保持工作总站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沣玮沐辉（陕西）项目管理有限公司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符合《地下水监测工程技术标准》和《陕西省地下水监测工作规则》等相关技术规范要求。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联系人：王娜</w:t>
      </w:r>
    </w:p>
    <w:p>
      <w:pPr>
        <w:pStyle w:val="null3"/>
      </w:pPr>
      <w:r>
        <w:rPr>
          <w:rFonts w:ascii="仿宋_GB2312" w:hAnsi="仿宋_GB2312" w:cs="仿宋_GB2312" w:eastAsia="仿宋_GB2312"/>
        </w:rPr>
        <w:t>联系电话：19829689693</w:t>
      </w:r>
    </w:p>
    <w:p>
      <w:pPr>
        <w:pStyle w:val="null3"/>
      </w:pPr>
      <w:r>
        <w:rPr>
          <w:rFonts w:ascii="仿宋_GB2312" w:hAnsi="仿宋_GB2312" w:cs="仿宋_GB2312" w:eastAsia="仿宋_GB2312"/>
        </w:rPr>
        <w:t>地址：陕西省西安市经济技术开发区凤谐路8号文景天下写字楼11楼1107室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2025</w:t>
      </w:r>
      <w:r>
        <w:rPr>
          <w:rFonts w:ascii="仿宋_GB2312" w:hAnsi="仿宋_GB2312" w:cs="仿宋_GB2312" w:eastAsia="仿宋_GB2312"/>
          <w:sz w:val="21"/>
        </w:rPr>
        <w:t>年度西安市超采区地下水监测及运行维护项目主要工作内容：开展</w:t>
      </w:r>
      <w:r>
        <w:rPr>
          <w:rFonts w:ascii="仿宋_GB2312" w:hAnsi="仿宋_GB2312" w:cs="仿宋_GB2312" w:eastAsia="仿宋_GB2312"/>
          <w:sz w:val="21"/>
        </w:rPr>
        <w:t>2025</w:t>
      </w:r>
      <w:r>
        <w:rPr>
          <w:rFonts w:ascii="仿宋_GB2312" w:hAnsi="仿宋_GB2312" w:cs="仿宋_GB2312" w:eastAsia="仿宋_GB2312"/>
          <w:sz w:val="21"/>
        </w:rPr>
        <w:t>年度西安市超采区地下水监测井监测数据采集工作，逐月完成地下水监测井巡测，逐月完成地下水监测数据报送，完成年度地下水监测数据资料年鉴整编及刊印，完成监测井及附属设施设备的管理维护。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2025年度西安市超采区监测及运行维护项目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标的名称：2025年度西安市超采区监测及运行维护项目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开展</w:t>
            </w:r>
            <w:r>
              <w:rPr>
                <w:rFonts w:ascii="仿宋_GB2312" w:hAnsi="仿宋_GB2312" w:cs="仿宋_GB2312" w:eastAsia="仿宋_GB2312"/>
                <w:sz w:val="21"/>
              </w:rPr>
              <w:t>2025</w:t>
            </w:r>
            <w:r>
              <w:rPr>
                <w:rFonts w:ascii="仿宋_GB2312" w:hAnsi="仿宋_GB2312" w:cs="仿宋_GB2312" w:eastAsia="仿宋_GB2312"/>
                <w:sz w:val="21"/>
              </w:rPr>
              <w:t>年度西安市超采区地下水监测井监测数据采集工作，逐月完成地下水监测井巡测，逐月完成地下水监测数据报送，完成年度地下水监测数据资料年鉴整编及刊印，完成监测井及附属设施设备的管理维护。数据采集应严格执行《地下水监测规范》、《城市地下水动态观测规程》等相关技术规范要求；资料整编执行《地下水监测规范》的相关规定；监测井及附属设施设备的管理维护，满足《地下水监测工程技术规范》的相关要求。 验收要求，</w:t>
            </w:r>
            <w:r>
              <w:rPr>
                <w:rFonts w:ascii="仿宋_GB2312" w:hAnsi="仿宋_GB2312" w:cs="仿宋_GB2312" w:eastAsia="仿宋_GB2312"/>
                <w:sz w:val="21"/>
              </w:rPr>
              <w:t>在本项目数据采集任务完成后，经自检合格后，乙方向甲方提交项目成果及巡测影像在内的有关材料，经甲方确认材料齐全、符合相关要求由甲方组织验收</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针对本项目提供明确的项目团队人员，要求人员为投标单位在职人员，具体详见评审细则及标准。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1.采购活动受国家法律保护和约束。双方遵守法律、法规和职业道德，凡在磋商过程中弄虚作假，一经查出，追究责任方的法律、经济责任。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4.成交单位不得对服务业务分包或转包。否则采购人有权终止合同，成交单位要承担由此造 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2025年1月1日至2025年12月31日。在甲方确定下一监测年度服务承担单位并签署合同前，乙方承诺并保证继续按质、按量提供监测服务并完成相应工作。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在本项目数据采集任务完成后，经自检合格后，乙方向甲方提交项目成果及巡测影像在内的有关材料，经甲方确认材料齐全、符合相关要求由甲方组织验收。（2）验收方法：乙方提交相关资料、提出验收申请，经甲方初步审核且达到验收条件，由甲方组织、聘请专家进行项目验收。（3）如通过验收，乙方应自通过之日起20日内向甲方提交项目全部成果及相关材料。（4）如未通过验收，由此给甲方带来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在2025年9月底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交的成果必须符合本合同的相关规定，未达到要求的，应按合同标的总金额百分之十向甲方支付违约金，经甲方要求整改后的30日内或甲方确定的其他期限内仍未达到要求，进而导致无法通过项目验收的，甲方有权解除合同，乙方还应同时返还甲方已支付的款项。2.乙方如未能按期提交项目成果，每延迟一日应按合同标的总金额千分之一向甲方支付迟延违约金。违约金首先从甲方未支付的项目款项中扣除。乙方逾期超过30日的，甲方有权要求解除合同，并有权要求乙方支付本合同总金额的20%违约金和承担甲方因此遭受的其他直接损失。3.乙方未按合同要求履行义务，且经甲方要求仍拒不改正的，应按合同标的总金额百分之十向甲方支付违约金。如拒不改正的部分或程度等导致本合同目的无法实现的，甲方有权解除合同，乙方还应同时返还甲方已支付的款项。4.争议解决和补充协议 因本合同产生或与本合同有关的任何争议，甲乙双方应协商解决，协商不成的依法向甲方所在地人民法院起诉。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在领取成交通知书时，递交一正两副纸质版磋商响应文件。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（1）供应商具有独立承担民事责任能力的法人、其他组织或自然人，提供合法有效的营业执照/事业单位法人证书/专业服务机构执业许可证/民办非企业单位登记证书等相关证明，自然人参与的提供其身份证明； （2）财务状况报告：须提供2023年度或2024年度经审计的财务报表或具有财务审计资质的单位出具的财务报告（至少包括资产负债表和利润表，成立时间至提交投标文件截止时间不足一年的可提供成立后任意时段的资产负债表），或开户银行出具的自开户之日起至投标前三个月内的资信证明或政府采购专业担保机构出具的投标担保函； （3）税收缴纳证明：提供2024年6月至提交磋商响应文件截止时间前至少一个月已缴纳的纳税证明或完税证明（任意税种）；依法免税的供应商应提供相关文件证明； （4）社会保障资金缴纳证明：提供2024年6月至提交磋商响应文件截止时间前至少一个月已缴纳的社会保障资金的凭据（专用收据或社会保险缴纳清单）；依法不需要缴纳社会保障资金的供应商应提供相关文件证明； （5）提供具有履行合同所必需的设备和专业技术能力的声明、参加政府采购活动前3年内在经营活动中没有重大违法记录的书面承诺。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供应商认为有必要补充说明的事项 供应商应提交的相关资格证明材料 拒绝政府采购领域商业贿赂承诺书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证明（任选其一）：①提供2023年度或2024年度经审计的财务报表或具有财务审计资质的单位出具的财务报告（至少包括资产负债表和利润表，成立时间至提交投标文件截止时间不足一年的可提供成立后任意时段的资产负债表）；②开户银行出具的自开户之日起至投标前三个月内的资信证明或政府采购专业担保机构出具的投标担保函。</w:t>
            </w:r>
          </w:p>
        </w:tc>
        <w:tc>
          <w:tcPr>
            <w:tcW w:type="dxa" w:w="1661"/>
          </w:tcPr>
          <w:p>
            <w:pPr>
              <w:pStyle w:val="null3"/>
            </w:pPr>
            <w:r>
              <w:rPr>
                <w:rFonts w:ascii="仿宋_GB2312" w:hAnsi="仿宋_GB2312" w:cs="仿宋_GB2312" w:eastAsia="仿宋_GB2312"/>
              </w:rPr>
              <w:t>供应商认为有必要补充说明的事项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法定代表人直接参加投标，须提供法定代表人身份证明；法定代表人授权他人参加投标时，须提供法定代表人委托授权书（附法定代表人、被授权人身份证复印件）。</w:t>
            </w:r>
          </w:p>
        </w:tc>
        <w:tc>
          <w:tcPr>
            <w:tcW w:type="dxa" w:w="1661"/>
          </w:tcPr>
          <w:p>
            <w:pPr>
              <w:pStyle w:val="null3"/>
            </w:pPr>
            <w:r>
              <w:rPr>
                <w:rFonts w:ascii="仿宋_GB2312" w:hAnsi="仿宋_GB2312" w:cs="仿宋_GB2312" w:eastAsia="仿宋_GB2312"/>
              </w:rPr>
              <w:t>供应商认为有必要补充说明的事项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中列入“政府采购严重违法失信行为记录名单”的供应商，不得为其他不符合《中华人民共和国政府采购法》第二十二条规定条件的供应商。将在响应文件递交截止日当天资格审查阶段通过【信用中国（www.creditchina.gov.cn）】、和【中国政府采购网（www.ccgp.gov.cn）】网站对供应商的信用情况进行查询，并将网页截图附在评审资料中（如相关失信记录已失效，供应商需提供相关证明资料，若没有则此项不需要提供）。</w:t>
            </w:r>
          </w:p>
        </w:tc>
        <w:tc>
          <w:tcPr>
            <w:tcW w:type="dxa" w:w="1661"/>
          </w:tcPr>
          <w:p>
            <w:pPr>
              <w:pStyle w:val="null3"/>
            </w:pPr>
            <w:r>
              <w:rPr>
                <w:rFonts w:ascii="仿宋_GB2312" w:hAnsi="仿宋_GB2312" w:cs="仿宋_GB2312" w:eastAsia="仿宋_GB2312"/>
              </w:rPr>
              <w:t>供应商认为有必要补充说明的事项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人员配备 服务（技术）、商务、合同条款响应偏离表 中小企业声明函 供应商应提交的相关资格证明材料 报价表 拒绝政府采购领域商业贿赂承诺书 响应文件封面 供应商认为有必要补充说明的事项 费用组成明细表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人员配备 服务（技术）、商务、合同条款响应偏离表 中小企业声明函 供应商应提交的相关资格证明材料 报价表 拒绝政府采购领域商业贿赂承诺书 响应文件封面 供应商认为有必要补充说明的事项 费用组成明细表 公司业绩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对本项目特性了解透彻，监测方案内容全面，方案先进、经济、规划合理，根据响应情况计7～10分；对本项目特性了解基本透彻，监测方案具有一定的合理性和可行性，对项目实施可起到一定指导作用的，根据响应情况计4～7分；监测方案思路不清晰、合理性和可行性较差，影响项目实施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监测方法及其依据的标准</w:t>
            </w:r>
          </w:p>
        </w:tc>
        <w:tc>
          <w:tcPr>
            <w:tcW w:type="dxa" w:w="2492"/>
          </w:tcPr>
          <w:p>
            <w:pPr>
              <w:pStyle w:val="null3"/>
            </w:pPr>
            <w:r>
              <w:rPr>
                <w:rFonts w:ascii="仿宋_GB2312" w:hAnsi="仿宋_GB2312" w:cs="仿宋_GB2312" w:eastAsia="仿宋_GB2312"/>
              </w:rPr>
              <w:t>监测方法合理可行，熟悉地下水监测工作，掌握地下水位动态，对地下水监测工作的技术规范操作要求论述详细、清晰的，根据响应情况计7～10分；监测方法基本合理，基本掌握地下水监测工作和地下水位动态，对地下水监测工作的技术规范操作要求有论述的，根据响应情况计4～7分；监测方法不合理，未掌握地下水监测工作和地下水位动态，对地下水监测工作的技术规范操作要求没有论述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监测设备和材料投入</w:t>
            </w:r>
          </w:p>
        </w:tc>
        <w:tc>
          <w:tcPr>
            <w:tcW w:type="dxa" w:w="2492"/>
          </w:tcPr>
          <w:p>
            <w:pPr>
              <w:pStyle w:val="null3"/>
            </w:pPr>
            <w:r>
              <w:rPr>
                <w:rFonts w:ascii="仿宋_GB2312" w:hAnsi="仿宋_GB2312" w:cs="仿宋_GB2312" w:eastAsia="仿宋_GB2312"/>
              </w:rPr>
              <w:t>监测设备型号、精度、数量和材料投入配备合理的，根据响应情况计7～10分；监测设备型号、精度、数量和材料投入配备基本合理的，根据响应情况计4～7分；监测设备型号、精度、数量和材料投入配备不合理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质量管理与各项保证措施</w:t>
            </w:r>
          </w:p>
        </w:tc>
        <w:tc>
          <w:tcPr>
            <w:tcW w:type="dxa" w:w="2492"/>
          </w:tcPr>
          <w:p>
            <w:pPr>
              <w:pStyle w:val="null3"/>
            </w:pPr>
            <w:r>
              <w:rPr>
                <w:rFonts w:ascii="仿宋_GB2312" w:hAnsi="仿宋_GB2312" w:cs="仿宋_GB2312" w:eastAsia="仿宋_GB2312"/>
              </w:rPr>
              <w:t>质量管理与各项保证措施完善的，根据响应情况计9～13分；质量管理与各项保证措施基本完善的，根据响应情况计5～9分； 质量管理与各项保证措施不完善的，根据响应情况计1～5分，缺项不计分。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对项目各阶段进度控制方法和措施、工作流程描述完整、科学、可行，进度控制方法和措施完整，科学、可行计7～10分；进度控制方法和措施较完整，科学、可行性一般计4～7分；进度控制方法和措施较差，科学、可行性较差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对项目的建议合理可行，具有建设性，满足项目需要，根据响应情况计7～10分；项目的建议基本合理可行，建设性一般，基本满足项目需要，根据响应情况计4～7分；对项目的建议不合理，建设性较差，不满足项目需要，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设立工作小组，提供项目组织架构图，详细介绍组成人员及岗位、职责，根据响应情况计1～8分；未提供不计分。2.项目组成员职称证书、学历证书齐全，岗位配置明确、合理根据其响应程度计0～3分； 3.项目组成员每配备1名水利或水文专业高级职称的计1分，最多计2分，每配备1名水利或水文专业中级职称的计0.5分，最多计2分。此项最多计4分。(以上人员提供职称证书复印件加盖公章)； 注：以响应文件中提供的证明材料为准，复印件须清晰可辨，复印件模糊无法辨认的不予赋分。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针对本项目实际情况及采购人实际需求提供可行的应急预案，按其响应程度计1～5分。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供应商具有2022年5月至今(以合同签订时间为准)的同类项目业绩，每提供一个计1.75分，满分7分。 注：供应商响应文件中提供复印件加盖供应商公章，不提供者不计分。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满足磋商文件要求且最终报价最低的供应商的价格为磋商基准价，其价格分为满分。其他供应商的价格统一按照下列公式计算：磋商报价得分=（磋商基准价/最终磋商报价）×价格权值×100 注：本项目为专门面向中小企业采购的预留项目，不再执行“价格评审优惠”的扶持政策。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详见附件：服务（技术）、商务、合同条款响应偏离表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详见附件：公司业绩</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