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版本号：SXDZ2025-ZC-CS00720250507001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西安市小型水库工程维修养护经费测算项目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SXDZ2025-ZC-CS007</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西安市小型水库工程维修养护经费测算项目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西安市小型水库工程维修养护经费测算项目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省水利厅《关于印发&lt;陕西省小型水库维修养护定额标准&gt;（试行）的通知》（陕水防发〔2023〕30号）、《陕西省小型水库维修养护定额标准》、《关于全面推进水利工程标准化管理工作的通知》（陕水河湖发〔2023〕21号）、《陕西省水利工程标准化管理评价办法（试行）》（陕水河湖发〔2023〕45号）、《陕西省水库、水闸及堤防工程标准化管理工作手册编制指南的通知》（陕水河湖发〔2023〕46号）和《陕西省水利工程标准化管理工作实施方案》，计划开展8座小型水库工程年度维修养护费用测算和西安市小型水库标准化管理手册编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采购包1（西安市小型水库工程维修养护经费测算项目）：属于专门面向中小企业采购。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 ：提供2023年度或2024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3、履行合同技术能力的承诺 ：提供具有履行合同所必需的设备和专业技术能力的承诺。</w:t>
      </w:r>
    </w:p>
    <w:p>
      <w:pPr>
        <w:pStyle w:val="null3"/>
      </w:pPr>
      <w:r>
        <w:rPr>
          <w:rFonts w:ascii="仿宋_GB2312" w:hAnsi="仿宋_GB2312" w:cs="仿宋_GB2312" w:eastAsia="仿宋_GB2312"/>
        </w:rPr>
        <w:t>4、税收缴纳证明 ：提供磋商截止日前一年内已缴纳的至少一个月的纳税证明或完税证明，依法免税的单位应提供相关证明材料。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 ：提供磋商截止日前一年内已缴存的至少一个月的社会保障资金缴存单据或社保机构开具的社会保险参保缴费情况证明，依法不需要缴纳社会保障资金的单位应提供相关证明材料。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 ：参加政府采购活动前3年内，在经营活动中没有重大违法记录的书面声明。</w:t>
      </w:r>
    </w:p>
    <w:p>
      <w:pPr>
        <w:pStyle w:val="null3"/>
      </w:pPr>
      <w:r>
        <w:rPr>
          <w:rFonts w:ascii="仿宋_GB2312" w:hAnsi="仿宋_GB2312" w:cs="仿宋_GB2312" w:eastAsia="仿宋_GB2312"/>
        </w:rPr>
        <w:t>7、法人身份证明或授权书 ：法定代表人参加的，须提供法定代表人身份证明及本人身份证复印件；法定代表人授权他人参加的，须提供法定代表人委托授权书、被授权代表的身份证复印件。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8、信用记录审查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9、本项目不接受联合体投标 ：本项目不接受联合体投标；（提供书面承诺，加盖供应商公章）。</w:t>
      </w:r>
    </w:p>
    <w:p>
      <w:pPr>
        <w:pStyle w:val="null3"/>
      </w:pPr>
      <w:r>
        <w:rPr>
          <w:rFonts w:ascii="仿宋_GB2312" w:hAnsi="仿宋_GB2312" w:cs="仿宋_GB2312" w:eastAsia="仿宋_GB2312"/>
        </w:rPr>
        <w:t>10、控股、管理关系 ：单位负责人为同一人或者存在直接控股、管理关系的不同供应商，不得同时参加本采购项目投标；（提供书面承诺，加盖供应商公章）。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86787419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陕西省西安市莲湖区御笔城市广场3号楼408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冯佩丽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为保证招标代理机构合理成本，若代理服务费按照该计价方式不足8000元的，按照8000元计取。 接收代理服务费账户名称：陕西东卓项目管理有限公司 开户银行：中国银行股份有限公司西安市经济技术开发区支行 账 号：102494375315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联系人：冯佩丽</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地址：陕西省西安市莲湖区御笔城市广场3号楼408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水利厅《关于印发&lt;陕西省小型水库维修养护定额标准&gt;（试行）的通知》（陕水防发〔2023〕30号）、《陕西省小型水库维修养护定额标准》、《关于全面推进水利工程标准化管理工作的通知》（陕水河湖发〔2023〕21号）、《陕西省水利工程标准化管理评价办法（试行）》（陕水河湖发〔2023〕45号）、《陕西省水库、水闸及堤防工程标准化管理工作手册编制指南的通知》（陕水河湖发〔2023〕46号）和《陕西省水利工程标准化管理工作实施方案》，计划开展8座小型水库工程年度维修养护费用测算和西安市小型水库标准化管理手册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西安市小型水库工程维修养护经费测算项目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标的名称：西安市小型水库工程维修养护经费测算项目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1"/>
                      <w:b/>
                      <w:color w:val="000000"/>
                    </w:rPr>
                    <w:t>一、项目概况</w:t>
                  </w:r>
                </w:p>
                <w:p>
                  <w:pPr>
                    <w:pStyle w:val="null3"/>
                    <w:ind w:firstLine="642"/>
                    <w:jc w:val="both"/>
                  </w:pPr>
                  <w:r>
                    <w:rPr>
                      <w:rFonts w:ascii="仿宋_GB2312" w:hAnsi="仿宋_GB2312" w:cs="仿宋_GB2312" w:eastAsia="仿宋_GB2312"/>
                      <w:sz w:val="24"/>
                    </w:rPr>
                    <w:t>按照省水利厅《关于印发&lt;陕西省小型水库维修养护定额标准&gt;（试行）的通知》（陕水防发〔2023〕30号）、《陕西省小型水库维修养护定额标准》、《关于全面推进水利工程标准化管理工作的通知》（陕水河湖发〔2023〕21号）、《陕西省水利工程标准化管理评价办法（试行）》（陕水河湖发〔2023〕45号）、《陕西省水库、水闸及堤防工程标准化管理工作手册编制指南的通知》（陕水河湖发〔2023〕46号）和《陕西省水利工程标准化管理工作实施方案》，计划开展8座小型水库工程年度维修养护费用测算和西安市小型水库标准化管理手册编制工作。</w:t>
                  </w:r>
                </w:p>
                <w:p>
                  <w:pPr>
                    <w:pStyle w:val="null3"/>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服务内容</w:t>
                  </w:r>
                </w:p>
                <w:p>
                  <w:pPr>
                    <w:pStyle w:val="null3"/>
                    <w:ind w:firstLine="642"/>
                    <w:jc w:val="both"/>
                  </w:pPr>
                  <w:r>
                    <w:rPr>
                      <w:rFonts w:ascii="仿宋_GB2312" w:hAnsi="仿宋_GB2312" w:cs="仿宋_GB2312" w:eastAsia="仿宋_GB2312"/>
                      <w:sz w:val="24"/>
                    </w:rPr>
                    <w:t>西安市小型水库共计50座，其中小（1）型水库为22座，小（2）型水库为28座，现场勘测具有代表性的8座小型水库（岱峪水库、龙河水库、甘峪水库、汤峪水库、西骆峪水库、正岔水库、塔盘沟水库、东风水库）。</w:t>
                  </w:r>
                </w:p>
                <w:p>
                  <w:pPr>
                    <w:pStyle w:val="null3"/>
                    <w:ind w:firstLine="642"/>
                    <w:jc w:val="both"/>
                  </w:pPr>
                  <w:r>
                    <w:rPr>
                      <w:rFonts w:ascii="仿宋_GB2312" w:hAnsi="仿宋_GB2312" w:cs="仿宋_GB2312" w:eastAsia="仿宋_GB2312"/>
                      <w:sz w:val="24"/>
                    </w:rPr>
                    <w:t>委托专业服务机构对具有代表性的8座小型水库逐库进行测算，形成预算成果；编制西安市小型水库标准化管理手册。</w:t>
                  </w:r>
                </w:p>
                <w:p>
                  <w:pPr>
                    <w:pStyle w:val="null3"/>
                    <w:jc w:val="both"/>
                  </w:pPr>
                  <w:r>
                    <w:rPr>
                      <w:rFonts w:ascii="仿宋_GB2312" w:hAnsi="仿宋_GB2312" w:cs="仿宋_GB2312" w:eastAsia="仿宋_GB2312"/>
                      <w:sz w:val="21"/>
                      <w:b/>
                      <w:color w:val="000000"/>
                    </w:rPr>
                    <w:t>三、服务要求</w:t>
                  </w:r>
                </w:p>
                <w:tbl>
                  <w:tblPr>
                    <w:tblInd w:type="dxa" w:w="135"/>
                    <w:tblBorders>
                      <w:top w:val="none" w:color="000000" w:sz="4"/>
                      <w:left w:val="none" w:color="000000" w:sz="4"/>
                      <w:bottom w:val="none" w:color="000000" w:sz="4"/>
                      <w:right w:val="none" w:color="000000" w:sz="4"/>
                      <w:insideH w:val="none"/>
                      <w:insideV w:val="none"/>
                    </w:tblBorders>
                  </w:tblPr>
                  <w:tblGrid>
                    <w:gridCol w:w="271"/>
                    <w:gridCol w:w="390"/>
                    <w:gridCol w:w="493"/>
                    <w:gridCol w:w="807"/>
                    <w:gridCol w:w="363"/>
                  </w:tblGrid>
                  <w:tr>
                    <w:tc>
                      <w:tcPr>
                        <w:tcW w:type="dxa" w:w="27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绩</w:t>
                        </w:r>
                        <w:r>
                          <w:br/>
                        </w:r>
                        <w:r>
                          <w:rPr>
                            <w:rFonts w:ascii="仿宋_GB2312" w:hAnsi="仿宋_GB2312" w:cs="仿宋_GB2312" w:eastAsia="仿宋_GB2312"/>
                            <w:sz w:val="21"/>
                          </w:rPr>
                          <w:t>效</w:t>
                        </w:r>
                        <w:r>
                          <w:br/>
                        </w:r>
                        <w:r>
                          <w:rPr>
                            <w:rFonts w:ascii="仿宋_GB2312" w:hAnsi="仿宋_GB2312" w:cs="仿宋_GB2312" w:eastAsia="仿宋_GB2312"/>
                            <w:sz w:val="21"/>
                          </w:rPr>
                          <w:t>指</w:t>
                        </w:r>
                        <w:r>
                          <w:br/>
                        </w:r>
                        <w:r>
                          <w:rPr>
                            <w:rFonts w:ascii="仿宋_GB2312" w:hAnsi="仿宋_GB2312" w:cs="仿宋_GB2312" w:eastAsia="仿宋_GB2312"/>
                            <w:sz w:val="21"/>
                          </w:rPr>
                          <w:t>标</w:t>
                        </w:r>
                      </w:p>
                    </w:tc>
                    <w:tc>
                      <w:tcPr>
                        <w:tcW w:type="dxa" w:w="3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一级指标</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二级指标</w:t>
                        </w:r>
                      </w:p>
                    </w:tc>
                    <w:tc>
                      <w:tcPr>
                        <w:tcW w:type="dxa" w:w="80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三级指标</w:t>
                        </w:r>
                      </w:p>
                    </w:tc>
                    <w:tc>
                      <w:tcPr>
                        <w:tcW w:type="dxa" w:w="3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指标值</w:t>
                        </w:r>
                      </w:p>
                    </w:tc>
                  </w:tr>
                  <w:tr>
                    <w:tc>
                      <w:tcPr>
                        <w:tcW w:type="dxa" w:w="271"/>
                        <w:vMerge/>
                        <w:tcBorders>
                          <w:top w:val="single" w:color="000000" w:sz="4"/>
                          <w:left w:val="single" w:color="000000" w:sz="4"/>
                          <w:bottom w:val="single" w:color="000000" w:sz="4"/>
                          <w:right w:val="single" w:color="000000" w:sz="4"/>
                        </w:tcBorders>
                      </w:tcPr>
                      <w:p/>
                    </w:tc>
                    <w:tc>
                      <w:tcPr>
                        <w:tcW w:type="dxa" w:w="39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产出指标</w:t>
                        </w:r>
                      </w:p>
                    </w:tc>
                    <w:tc>
                      <w:tcPr>
                        <w:tcW w:type="dxa" w:w="493"/>
                        <w:vMerge w:val="restart"/>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数量指标</w:t>
                        </w:r>
                      </w:p>
                    </w:tc>
                    <w:tc>
                      <w:tcPr>
                        <w:tcW w:type="dxa" w:w="807"/>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西安市小型水库维修养护费用预算</w:t>
                        </w:r>
                      </w:p>
                    </w:tc>
                    <w:tc>
                      <w:tcPr>
                        <w:tcW w:type="dxa" w:w="36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8本</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none" w:color="000000" w:sz="4"/>
                          <w:right w:val="none" w:color="000000" w:sz="4"/>
                        </w:tcBorders>
                      </w:tcPr>
                      <w:p/>
                    </w:tc>
                    <w:tc>
                      <w:tcPr>
                        <w:tcW w:type="dxa" w:w="807"/>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《西安市小型水库标准化管理手册》</w:t>
                        </w:r>
                      </w:p>
                    </w:tc>
                    <w:tc>
                      <w:tcPr>
                        <w:tcW w:type="dxa" w:w="36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质量指标</w:t>
                        </w:r>
                      </w:p>
                    </w:tc>
                    <w:tc>
                      <w:tcPr>
                        <w:tcW w:type="dxa" w:w="807"/>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质量合格率</w:t>
                        </w:r>
                      </w:p>
                    </w:tc>
                    <w:tc>
                      <w:tcPr>
                        <w:tcW w:type="dxa" w:w="36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时效指标</w:t>
                        </w:r>
                      </w:p>
                    </w:tc>
                    <w:tc>
                      <w:tcPr>
                        <w:tcW w:type="dxa" w:w="807"/>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当年完成所有指标考核任务</w:t>
                        </w:r>
                      </w:p>
                    </w:tc>
                    <w:tc>
                      <w:tcPr>
                        <w:tcW w:type="dxa" w:w="3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8月</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成本指标</w:t>
                        </w:r>
                      </w:p>
                    </w:tc>
                    <w:tc>
                      <w:tcPr>
                        <w:tcW w:type="dxa" w:w="80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申请财政资金总量</w:t>
                        </w:r>
                      </w:p>
                    </w:tc>
                    <w:tc>
                      <w:tcPr>
                        <w:tcW w:type="dxa" w:w="3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30万元</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single" w:color="000000" w:sz="4"/>
                          <w:left w:val="single" w:color="000000" w:sz="4"/>
                          <w:bottom w:val="single" w:color="000000" w:sz="4"/>
                          <w:right w:val="single" w:color="000000" w:sz="4"/>
                        </w:tcBorders>
                      </w:tcPr>
                      <w:p/>
                    </w:tc>
                    <w:tc>
                      <w:tcPr>
                        <w:tcW w:type="dxa" w:w="363"/>
                        <w:vMerge/>
                        <w:tcBorders>
                          <w:top w:val="singl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single" w:color="000000" w:sz="4"/>
                          <w:left w:val="single" w:color="000000" w:sz="4"/>
                          <w:bottom w:val="single" w:color="000000" w:sz="4"/>
                          <w:right w:val="single" w:color="000000" w:sz="4"/>
                        </w:tcBorders>
                      </w:tcPr>
                      <w:p/>
                    </w:tc>
                    <w:tc>
                      <w:tcPr>
                        <w:tcW w:type="dxa" w:w="363"/>
                        <w:vMerge/>
                        <w:tcBorders>
                          <w:top w:val="singl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效益指标</w:t>
                        </w:r>
                      </w:p>
                    </w:tc>
                    <w:tc>
                      <w:tcPr>
                        <w:tcW w:type="dxa" w:w="493"/>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经济效益</w:t>
                        </w:r>
                        <w:r>
                          <w:br/>
                        </w:r>
                        <w:r>
                          <w:rPr>
                            <w:rFonts w:ascii="仿宋_GB2312" w:hAnsi="仿宋_GB2312" w:cs="仿宋_GB2312" w:eastAsia="仿宋_GB2312"/>
                            <w:sz w:val="21"/>
                          </w:rPr>
                          <w:t>指标</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安排年度我市小型水库管理单位工程维修养护费用</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效果明显</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社会效益</w:t>
                        </w:r>
                        <w:r>
                          <w:br/>
                        </w:r>
                        <w:r>
                          <w:rPr>
                            <w:rFonts w:ascii="仿宋_GB2312" w:hAnsi="仿宋_GB2312" w:cs="仿宋_GB2312" w:eastAsia="仿宋_GB2312"/>
                            <w:sz w:val="21"/>
                          </w:rPr>
                          <w:t>指标</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确保水库运行和人民群众生命财产安全。</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效果明显</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生态效益</w:t>
                        </w:r>
                        <w:r>
                          <w:br/>
                        </w:r>
                        <w:r>
                          <w:rPr>
                            <w:rFonts w:ascii="仿宋_GB2312" w:hAnsi="仿宋_GB2312" w:cs="仿宋_GB2312" w:eastAsia="仿宋_GB2312"/>
                            <w:sz w:val="21"/>
                          </w:rPr>
                          <w:t>指标</w:t>
                        </w:r>
                      </w:p>
                    </w:tc>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落实维修养护经费，从而充分发挥水利工程功能，保障我市水生态环境。</w:t>
                        </w: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潜在</w:t>
                        </w: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none" w:color="000000" w:sz="4"/>
                        </w:tcBorders>
                      </w:tcPr>
                      <w:p/>
                    </w:tc>
                    <w:tc>
                      <w:tcPr>
                        <w:tcW w:type="dxa" w:w="807"/>
                        <w:vMerge/>
                        <w:tcBorders>
                          <w:top w:val="none" w:color="000000" w:sz="4"/>
                          <w:left w:val="singl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271"/>
                        <w:vMerge/>
                        <w:tcBorders>
                          <w:top w:val="singl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可持续影响</w:t>
                        </w:r>
                        <w:r>
                          <w:br/>
                        </w:r>
                        <w:r>
                          <w:rPr>
                            <w:rFonts w:ascii="仿宋_GB2312" w:hAnsi="仿宋_GB2312" w:cs="仿宋_GB2312" w:eastAsia="仿宋_GB2312"/>
                            <w:sz w:val="21"/>
                          </w:rPr>
                          <w:t>指标</w:t>
                        </w:r>
                      </w:p>
                    </w:tc>
                    <w:tc>
                      <w:tcPr>
                        <w:tcW w:type="dxa" w:w="807"/>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保障水库运行安全。</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潜在</w:t>
                        </w:r>
                      </w:p>
                    </w:tc>
                  </w:tr>
                  <w:tr>
                    <w:tc>
                      <w:tcPr>
                        <w:tcW w:type="dxa" w:w="271"/>
                        <w:vMerge/>
                        <w:tcBorders>
                          <w:top w:val="single" w:color="000000" w:sz="4"/>
                          <w:left w:val="single" w:color="000000" w:sz="4"/>
                          <w:bottom w:val="single" w:color="000000" w:sz="4"/>
                          <w:right w:val="single" w:color="000000" w:sz="4"/>
                        </w:tcBorders>
                      </w:tcPr>
                      <w:p/>
                    </w:tc>
                    <w:tc>
                      <w:tcPr>
                        <w:tcW w:type="dxa" w:w="3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满意度指标</w:t>
                        </w:r>
                      </w:p>
                    </w:tc>
                    <w:tc>
                      <w:tcPr>
                        <w:tcW w:type="dxa" w:w="49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服务对象</w:t>
                        </w:r>
                        <w:r>
                          <w:br/>
                        </w:r>
                        <w:r>
                          <w:rPr>
                            <w:rFonts w:ascii="仿宋_GB2312" w:hAnsi="仿宋_GB2312" w:cs="仿宋_GB2312" w:eastAsia="仿宋_GB2312"/>
                            <w:sz w:val="21"/>
                          </w:rPr>
                          <w:t>满意度指标</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服务对象满意度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达到90%</w:t>
                        </w:r>
                      </w:p>
                    </w:tc>
                  </w:tr>
                </w:tbl>
                <w:p>
                  <w:pPr>
                    <w:pStyle w:val="null3"/>
                    <w:spacing w:before="210"/>
                    <w:jc w:val="left"/>
                  </w:pPr>
                  <w:r>
                    <w:rPr>
                      <w:rFonts w:ascii="仿宋_GB2312" w:hAnsi="仿宋_GB2312" w:cs="仿宋_GB2312" w:eastAsia="仿宋_GB2312"/>
                      <w:sz w:val="21"/>
                      <w:b/>
                      <w:color w:val="000000"/>
                    </w:rPr>
                    <w:t>四、商务要求</w:t>
                  </w:r>
                </w:p>
                <w:p>
                  <w:pPr>
                    <w:pStyle w:val="null3"/>
                    <w:jc w:val="both"/>
                  </w:pPr>
                  <w:r>
                    <w:rPr>
                      <w:rFonts w:ascii="仿宋_GB2312" w:hAnsi="仿宋_GB2312" w:cs="仿宋_GB2312" w:eastAsia="仿宋_GB2312"/>
                      <w:sz w:val="21"/>
                    </w:rPr>
                    <w:t>1、服务期限：2025年6月至9月底</w:t>
                  </w:r>
                </w:p>
                <w:p>
                  <w:pPr>
                    <w:pStyle w:val="null3"/>
                    <w:jc w:val="both"/>
                  </w:pPr>
                  <w:r>
                    <w:rPr>
                      <w:rFonts w:ascii="仿宋_GB2312" w:hAnsi="仿宋_GB2312" w:cs="仿宋_GB2312" w:eastAsia="仿宋_GB2312"/>
                      <w:sz w:val="21"/>
                    </w:rPr>
                    <w:t>2、服务地点：采购人指定地点</w:t>
                  </w:r>
                </w:p>
                <w:p>
                  <w:pPr>
                    <w:pStyle w:val="null3"/>
                    <w:jc w:val="both"/>
                  </w:pPr>
                  <w:r>
                    <w:rPr>
                      <w:rFonts w:ascii="仿宋_GB2312" w:hAnsi="仿宋_GB2312" w:cs="仿宋_GB2312" w:eastAsia="仿宋_GB2312"/>
                      <w:sz w:val="21"/>
                    </w:rPr>
                    <w:t>3、款项结算</w:t>
                  </w:r>
                </w:p>
                <w:p>
                  <w:pPr>
                    <w:pStyle w:val="null3"/>
                    <w:jc w:val="both"/>
                  </w:pPr>
                  <w:r>
                    <w:rPr>
                      <w:rFonts w:ascii="仿宋_GB2312" w:hAnsi="仿宋_GB2312" w:cs="仿宋_GB2312" w:eastAsia="仿宋_GB2312"/>
                      <w:sz w:val="21"/>
                    </w:rPr>
                    <w:t>3.1、结算单位</w:t>
                  </w:r>
                </w:p>
                <w:p>
                  <w:pPr>
                    <w:pStyle w:val="null3"/>
                    <w:ind w:firstLine="420"/>
                    <w:jc w:val="both"/>
                  </w:pPr>
                  <w:r>
                    <w:rPr>
                      <w:rFonts w:ascii="仿宋_GB2312" w:hAnsi="仿宋_GB2312" w:cs="仿宋_GB2312" w:eastAsia="仿宋_GB2312"/>
                      <w:sz w:val="21"/>
                    </w:rPr>
                    <w:t>银行转账，由甲方负责结算。在付款前，成交人须开具与合同金额相应的发票给采购人。</w:t>
                  </w:r>
                </w:p>
                <w:p>
                  <w:pPr>
                    <w:pStyle w:val="null3"/>
                    <w:jc w:val="both"/>
                  </w:pPr>
                  <w:r>
                    <w:rPr>
                      <w:rFonts w:ascii="仿宋_GB2312" w:hAnsi="仿宋_GB2312" w:cs="仿宋_GB2312" w:eastAsia="仿宋_GB2312"/>
                      <w:sz w:val="21"/>
                    </w:rPr>
                    <w:t>3.2、付款方式</w:t>
                  </w:r>
                </w:p>
                <w:p>
                  <w:pPr>
                    <w:pStyle w:val="null3"/>
                    <w:ind w:firstLine="420"/>
                    <w:jc w:val="both"/>
                  </w:pPr>
                  <w:r>
                    <w:rPr>
                      <w:rFonts w:ascii="仿宋_GB2312" w:hAnsi="仿宋_GB2312" w:cs="仿宋_GB2312" w:eastAsia="仿宋_GB2312"/>
                      <w:sz w:val="21"/>
                    </w:rPr>
                    <w:t xml:space="preserve"> 2025年8月底前，完成8座小型水库工程维修养护费用测算和西安市小型水库标准化管理手册初稿，装订成册 ，达到付款条件起 30 日内，支付合同总金额的 60.00%。</w:t>
                  </w:r>
                </w:p>
                <w:p>
                  <w:pPr>
                    <w:pStyle w:val="null3"/>
                    <w:ind w:firstLine="420"/>
                    <w:jc w:val="both"/>
                  </w:pPr>
                  <w:r>
                    <w:rPr>
                      <w:rFonts w:ascii="仿宋_GB2312" w:hAnsi="仿宋_GB2312" w:cs="仿宋_GB2312" w:eastAsia="仿宋_GB2312"/>
                      <w:sz w:val="21"/>
                    </w:rPr>
                    <w:t xml:space="preserve"> 2025年9月底，经组织专家对8座小型水库工程维修养护费用测算和西安市小型水库标准化管理手册评审，通过验收后，形成8座小型水库工程维修养护费用测算和西安市小型水库标准化管理手册正式稿，装订成册 ，达到付款条件起 30 日内，支付合同总金额的 40.00%。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2025年6月至9月底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2025年8月底前，完成8座小型水库工程维修养护费用测算和西安市小型水库标准化管理手册初稿，装订成册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2025年9月底，经组织专家对8座小型水库工程维修养护费用测算和西安市小型水库标准化管理手册评审，通过验收后，形成8座小型水库工程维修养护费用测算和西安市小型水库标准化管理手册正式稿，装订成册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为保证项目顺利备案，成交供应商在领取纸质版成交通知书时，需提供纸质版响应文件壹正贰副，电子版贰份。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单位负责人为同一人或者存在直接控股、管理关系的不同供应商，不得同时参加本采购项目投标；（提供书面承诺，加盖供应商公章）。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分项报价表.docx 技术偏离表.docx 残疾人福利性单位声明函 标的清单 供应商拒绝政府采购领域商业贿赂承诺书.docx 项目实施人员情况表.docx 业绩相关证明材料.docx 响应函 商务偏离表.docx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分项报价表.docx 技术偏离表.docx 残疾人福利性单位声明函 标的清单 供应商拒绝政府采购领域商业贿赂承诺书.docx 项目实施人员情况表.docx 业绩相关证明材料.docx 响应函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分项报价表.docx 技术偏离表.docx 残疾人福利性单位声明函 标的清单 供应商拒绝政府采购领域商业贿赂承诺书.docx 项目实施人员情况表.docx 业绩相关证明材料.docx 响应函 商务偏离表.docx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分项报价表.docx 技术偏离表.docx 残疾人福利性单位声明函 标的清单 供应商拒绝政府采购领域商业贿赂承诺书.docx 项目实施人员情况表.docx 业绩相关证明材料.docx 响应函 商务偏离表.docx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服务内容及服务邀请应答表 商务应答表 响应函 商务偏离表.docx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项目实施方案的工作任务、工作团队组建与分工、各环节主要内容、工作流程、技术手段、工作计划和工作任务量等，实施方案编制要坚持针对性、规范性和可操作性原则，保证工作开展的可行性、科学性和准确性。 （1）提供的方案不完整或合理性低得【0-5】分； （2）提供的方案基本满足项目需求得（5-10】分； （3）提供的方案齐全合理，可操作性强得（10-15】分。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供应商对项目的意义和必要性、工作重点、工作目的、关键点及合理化建议的简述。 （1）对项目总体及关键点有深刻认识，解决方案可操作性强，建议可行，充分满足项目要求的，计（8-15】分； （2）对项目总体及关键点有一定认识，解决难点方案可操作性一般，建议基本可行，基本满足项目要求，计【5-8】分。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确保服务期的进度计划</w:t>
            </w:r>
          </w:p>
        </w:tc>
        <w:tc>
          <w:tcPr>
            <w:tcW w:type="dxa" w:w="2492"/>
          </w:tcPr>
          <w:p>
            <w:pPr>
              <w:pStyle w:val="null3"/>
            </w:pPr>
            <w:r>
              <w:rPr>
                <w:rFonts w:ascii="仿宋_GB2312" w:hAnsi="仿宋_GB2312" w:cs="仿宋_GB2312" w:eastAsia="仿宋_GB2312"/>
              </w:rPr>
              <w:t>（1）提供确保服务期的进度计划，包括服务进度表或服务时间节点计划等，计划合理，进度有切实保障计（5-10】分； （2）不符合上述情形的计【0-5】分。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确保服务质量的技术组织措施</w:t>
            </w:r>
          </w:p>
        </w:tc>
        <w:tc>
          <w:tcPr>
            <w:tcW w:type="dxa" w:w="2492"/>
          </w:tcPr>
          <w:p>
            <w:pPr>
              <w:pStyle w:val="null3"/>
            </w:pPr>
            <w:r>
              <w:rPr>
                <w:rFonts w:ascii="仿宋_GB2312" w:hAnsi="仿宋_GB2312" w:cs="仿宋_GB2312" w:eastAsia="仿宋_GB2312"/>
              </w:rPr>
              <w:t>供应商有完善的管理体系、质量管理、项目保证措施等。要求针对本项目的质量保证体系健全、控制程序规范、保证措施得当，并对实施组织机构、人员安排有具体方案，分工合理、责任明确，能确保项目顺利实施。 （1）措施完善、体系健全、安排合理计（5-10】分； （2）措施较完善、体系健全、工作安排考虑欠缺计【0-5】分。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廉洁从业及保密保障措施</w:t>
            </w:r>
          </w:p>
        </w:tc>
        <w:tc>
          <w:tcPr>
            <w:tcW w:type="dxa" w:w="2492"/>
          </w:tcPr>
          <w:p>
            <w:pPr>
              <w:pStyle w:val="null3"/>
            </w:pPr>
            <w:r>
              <w:rPr>
                <w:rFonts w:ascii="仿宋_GB2312" w:hAnsi="仿宋_GB2312" w:cs="仿宋_GB2312" w:eastAsia="仿宋_GB2312"/>
              </w:rPr>
              <w:t>对项目相关技术人员廉洁从业、保密措施，根据响应单位措施内容按以下标准进行打分。 （1）措施内容完整详尽，符合项目实际情况计(3-7】分； （2）不符合上述情形的计【1-3】分。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（1）对采购内容的相关服务质量、进度要求、沟通途径等做出承诺，根据内容详尽程度计（4-8】分； （2）承诺中内容不完整、不具体，计【1-4】。</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1.人员分配方案，根据供应商针对本项目拟投入的技术人员拥有调查、分析、编制报告等能力是否能够满足项目需求进行比较评审0～5分； 2.拟派团队成员具有中级职称证书的，提供一个得 2 分，具有高级职称证书的，提供一个得3分，本项最高得10分。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具有2022年1月1日以后类似业绩（以合同复印件或中标通知书加盖公章为依据）。每提供一个业绩得2分，满分10分。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p>
            <w:pPr>
              <w:pStyle w:val="null3"/>
            </w:pPr>
            <w:r>
              <w:rPr>
                <w:rFonts w:ascii="仿宋_GB2312" w:hAnsi="仿宋_GB2312" w:cs="仿宋_GB2312" w:eastAsia="仿宋_GB2312"/>
              </w:rPr>
              <w:t>其他相关资料.docx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