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版本号：TZZB-2025102C.1B120250507001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2025年西安市一刻钟便民生活圈促消费活动(二次)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TZZB-2025102C.1B1</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2025年西安市一刻钟便民生活圈促消费活动(二次)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TZZB-2025102C.1B1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2025年西安市一刻钟便民生活圈促消费活动(二次)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安市一刻钟便民生活圈促消费活动，是2025年西安市促进消费系列活动之一。活动以社区居民需求为导向，计划5月份、9月份陆续在20个社区，联合商家开展家电、家具、家装等“以旧换新”、便民集市、金融安全宣传等便民主题活动，旨在进一步创新社区消费场景、繁荣社区商业，为社区居民提供更多优惠的品质商品和更加便捷的服务体验，让居民切实享受“以旧换新”等便民政策带来的实惠，全方位提升社区居民消费品质，不断提高居民的满意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采购包1（2025年西安市一刻钟便民生活圈促消费活动）：属于专门面向中小企业采购。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rFonts w:ascii="仿宋_GB2312" w:hAnsi="仿宋_GB2312" w:cs="仿宋_GB2312" w:eastAsia="仿宋_GB2312"/>
        </w:rPr>
        <w:t>2、磋商响应单位代表身份：法定代表人参加投标时，提供本人身份证；授权代表参加投标时，提供法定代表人授权书和被授权人身份证；非法人单位参照执行；</w:t>
      </w:r>
    </w:p>
    <w:p>
      <w:pPr>
        <w:pStyle w:val="null3"/>
      </w:pPr>
      <w:r>
        <w:rPr>
          <w:rFonts w:ascii="仿宋_GB2312" w:hAnsi="仿宋_GB2312" w:cs="仿宋_GB2312" w:eastAsia="仿宋_GB2312"/>
        </w:rPr>
        <w:t>3、税收缴纳证明：提供2024年10月至今已缴纳的至少一个月的纳税证明或完税证明（任意税种），依法免税的单位应提供相关证明材料；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4、社会保障资金缴纳证明：提供2024年10月至今已缴存的至少一个月的社会保障资金缴存单据或社保机构开具的社会保险参保缴费情况证明，依法不需要缴纳社会保障资金的单位应提供相关证明材料；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5、财务状况：提供供应商2023年或者2024年经审计的财务报告或磋商前三个月内开户银行开具的资信证明；</w:t>
      </w:r>
    </w:p>
    <w:p>
      <w:pPr>
        <w:pStyle w:val="null3"/>
      </w:pPr>
      <w:r>
        <w:rPr>
          <w:rFonts w:ascii="仿宋_GB2312" w:hAnsi="仿宋_GB2312" w:cs="仿宋_GB2312" w:eastAsia="仿宋_GB2312"/>
        </w:rPr>
        <w:t>6、经营活动：参加政府采购活动前三年内，在经营活动中没有重大违法记录的书面声明；</w:t>
      </w:r>
    </w:p>
    <w:p>
      <w:pPr>
        <w:pStyle w:val="null3"/>
      </w:pPr>
      <w:r>
        <w:rPr>
          <w:rFonts w:ascii="仿宋_GB2312" w:hAnsi="仿宋_GB2312" w:cs="仿宋_GB2312" w:eastAsia="仿宋_GB2312"/>
        </w:rPr>
        <w:t>7、控股、管理关系：磋商单位负责人为同一人或者存在控股、管理关系的不同单位不得同时进行投标；</w:t>
      </w:r>
    </w:p>
    <w:p>
      <w:pPr>
        <w:pStyle w:val="null3"/>
      </w:pPr>
      <w:r>
        <w:rPr>
          <w:rFonts w:ascii="仿宋_GB2312" w:hAnsi="仿宋_GB2312" w:cs="仿宋_GB2312" w:eastAsia="仿宋_GB2312"/>
        </w:rPr>
        <w:t>8、“信用中国”网站和“中国政府采购网”查询截图：响应单位不得为“信用中国”网站（www.creditchina.gov.cn）（中国执行信息公开网）和中国政府采购网（www.ccgp.gov.cn）中被列入失信被执行人、重大税收违法失信主体、政府采购严重违法失信行为记录名单的单位；</w:t>
      </w:r>
    </w:p>
    <w:p>
      <w:pPr>
        <w:pStyle w:val="null3"/>
      </w:pPr>
      <w:r>
        <w:rPr>
          <w:rFonts w:ascii="仿宋_GB2312" w:hAnsi="仿宋_GB2312" w:cs="仿宋_GB2312" w:eastAsia="仿宋_GB2312"/>
        </w:rPr>
        <w:t>9、具有履行合同所必需的设备和专业技术能力：具有履行合同所必需的设备和专业技术能力的承诺函；</w:t>
      </w:r>
    </w:p>
    <w:p>
      <w:pPr>
        <w:pStyle w:val="null3"/>
      </w:pPr>
      <w:r>
        <w:rPr>
          <w:rFonts w:ascii="仿宋_GB2312" w:hAnsi="仿宋_GB2312" w:cs="仿宋_GB2312" w:eastAsia="仿宋_GB2312"/>
        </w:rPr>
        <w:t>10、联合体：本项目不接受联合体磋商（提供承诺书）；</w:t>
      </w:r>
    </w:p>
    <w:p>
      <w:pPr>
        <w:pStyle w:val="null3"/>
      </w:pPr>
      <w:r>
        <w:rPr>
          <w:rFonts w:ascii="仿宋_GB2312" w:hAnsi="仿宋_GB2312" w:cs="仿宋_GB2312" w:eastAsia="仿宋_GB2312"/>
        </w:rPr>
        <w:t>11、中小企业声明函：本项目采购包1为专门面向中小企业项目，供应商须为中型企业或者小型、微型企业或监狱企业或残疾人福利性单位。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刘丽娟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86786529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陕西省西安市经济技术开发区凤城八路180号长和国际F座22层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倪莹、程方园、王燕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029-86522030转612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关于印发&lt;招标代理服务收费管理暂行办法&gt;的通知》(计价格[2002]1980号)及国家发展和改革委员会(发改办价格[2011]534号)文件规定的收费标准计取，不足3300元按3300元收取。 缴纳招标代理服务费账号： 户名：同正项目管理有限公司 开户行：中国建设银行股份有限公司西安长庆支行 账号：61050190550000001106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1、服务期满后按照成交供应商所提供的资料及数据进行验收； 2、最终验收：自合同签订之日起至完成全部项目内容，需按照采购人确定的时间完成交付并验收合格，验收合格后，填写验收单。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联系人：倪莹、程方园、王燕</w:t>
      </w:r>
    </w:p>
    <w:p>
      <w:pPr>
        <w:pStyle w:val="null3"/>
      </w:pPr>
      <w:r>
        <w:rPr>
          <w:rFonts w:ascii="仿宋_GB2312" w:hAnsi="仿宋_GB2312" w:cs="仿宋_GB2312" w:eastAsia="仿宋_GB2312"/>
        </w:rPr>
        <w:t>联系电话：029-86522030转612</w:t>
      </w:r>
    </w:p>
    <w:p>
      <w:pPr>
        <w:pStyle w:val="null3"/>
      </w:pPr>
      <w:r>
        <w:rPr>
          <w:rFonts w:ascii="仿宋_GB2312" w:hAnsi="仿宋_GB2312" w:cs="仿宋_GB2312" w:eastAsia="仿宋_GB2312"/>
        </w:rPr>
        <w:t>地址：陕西省西安市经济技术开发区凤城八路180号长和国际F座22层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西安市一刻钟便民生活圈促消费活动，是2025年西安市促进消费系列活动之一。活动以社区居民需求为导向，计划5月份、9月份陆续在20个社区，联合商家开展家电、家具、家装等“以旧换新”、便民集市、金融安全宣传等便民主题活动，旨在进一步创新社区消费场景、繁荣社区商业，为社区居民提供更多优惠的品质商品和更加便捷的服务体验，让居民切实享受“以旧换新”等便民政策带来的实惠，全方位提升社区居民消费品质，不断提高居民的满意度。</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2025年西安市一刻钟便民生活圈促消费活动策划、组织、实施等服务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标的名称：2025年西安市一刻钟便民生活圈促消费活动策划、组织、实施等服务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一、项目概况</w:t>
            </w:r>
          </w:p>
          <w:p>
            <w:pPr>
              <w:pStyle w:val="null3"/>
              <w:jc w:val="both"/>
            </w:pPr>
            <w:r>
              <w:rPr>
                <w:rFonts w:ascii="仿宋_GB2312" w:hAnsi="仿宋_GB2312" w:cs="仿宋_GB2312" w:eastAsia="仿宋_GB2312"/>
                <w:sz w:val="18"/>
              </w:rPr>
              <w:t>2025</w:t>
            </w:r>
            <w:r>
              <w:rPr>
                <w:rFonts w:ascii="仿宋_GB2312" w:hAnsi="仿宋_GB2312" w:cs="仿宋_GB2312" w:eastAsia="仿宋_GB2312"/>
                <w:sz w:val="18"/>
              </w:rPr>
              <w:t>年西安市一刻钟便民生活圈促消费活动，是</w:t>
            </w:r>
            <w:r>
              <w:rPr>
                <w:rFonts w:ascii="仿宋_GB2312" w:hAnsi="仿宋_GB2312" w:cs="仿宋_GB2312" w:eastAsia="仿宋_GB2312"/>
                <w:sz w:val="18"/>
              </w:rPr>
              <w:t>2025</w:t>
            </w:r>
            <w:r>
              <w:rPr>
                <w:rFonts w:ascii="仿宋_GB2312" w:hAnsi="仿宋_GB2312" w:cs="仿宋_GB2312" w:eastAsia="仿宋_GB2312"/>
                <w:sz w:val="18"/>
              </w:rPr>
              <w:t>年西安市促进消费系列活动之一。活动以社区居民需求为导向，计划</w:t>
            </w:r>
            <w:r>
              <w:rPr>
                <w:rFonts w:ascii="仿宋_GB2312" w:hAnsi="仿宋_GB2312" w:cs="仿宋_GB2312" w:eastAsia="仿宋_GB2312"/>
                <w:sz w:val="18"/>
              </w:rPr>
              <w:t>5</w:t>
            </w:r>
            <w:r>
              <w:rPr>
                <w:rFonts w:ascii="仿宋_GB2312" w:hAnsi="仿宋_GB2312" w:cs="仿宋_GB2312" w:eastAsia="仿宋_GB2312"/>
                <w:sz w:val="18"/>
              </w:rPr>
              <w:t>月份、</w:t>
            </w:r>
            <w:r>
              <w:rPr>
                <w:rFonts w:ascii="仿宋_GB2312" w:hAnsi="仿宋_GB2312" w:cs="仿宋_GB2312" w:eastAsia="仿宋_GB2312"/>
                <w:sz w:val="18"/>
              </w:rPr>
              <w:t>9</w:t>
            </w:r>
            <w:r>
              <w:rPr>
                <w:rFonts w:ascii="仿宋_GB2312" w:hAnsi="仿宋_GB2312" w:cs="仿宋_GB2312" w:eastAsia="仿宋_GB2312"/>
                <w:sz w:val="18"/>
              </w:rPr>
              <w:t>月份陆续在</w:t>
            </w:r>
            <w:r>
              <w:rPr>
                <w:rFonts w:ascii="仿宋_GB2312" w:hAnsi="仿宋_GB2312" w:cs="仿宋_GB2312" w:eastAsia="仿宋_GB2312"/>
                <w:sz w:val="18"/>
              </w:rPr>
              <w:t>20</w:t>
            </w:r>
            <w:r>
              <w:rPr>
                <w:rFonts w:ascii="仿宋_GB2312" w:hAnsi="仿宋_GB2312" w:cs="仿宋_GB2312" w:eastAsia="仿宋_GB2312"/>
                <w:sz w:val="18"/>
              </w:rPr>
              <w:t>个社区，联合商家开展家电、家具、家装等</w:t>
            </w:r>
            <w:r>
              <w:rPr>
                <w:rFonts w:ascii="仿宋_GB2312" w:hAnsi="仿宋_GB2312" w:cs="仿宋_GB2312" w:eastAsia="仿宋_GB2312"/>
                <w:sz w:val="18"/>
              </w:rPr>
              <w:t>“</w:t>
            </w:r>
            <w:r>
              <w:rPr>
                <w:rFonts w:ascii="仿宋_GB2312" w:hAnsi="仿宋_GB2312" w:cs="仿宋_GB2312" w:eastAsia="仿宋_GB2312"/>
                <w:sz w:val="18"/>
              </w:rPr>
              <w:t>以旧换新</w:t>
            </w:r>
            <w:r>
              <w:rPr>
                <w:rFonts w:ascii="仿宋_GB2312" w:hAnsi="仿宋_GB2312" w:cs="仿宋_GB2312" w:eastAsia="仿宋_GB2312"/>
                <w:sz w:val="18"/>
              </w:rPr>
              <w:t>”</w:t>
            </w:r>
            <w:r>
              <w:rPr>
                <w:rFonts w:ascii="仿宋_GB2312" w:hAnsi="仿宋_GB2312" w:cs="仿宋_GB2312" w:eastAsia="仿宋_GB2312"/>
                <w:sz w:val="18"/>
              </w:rPr>
              <w:t>、便民集市、金融安全宣传等便民主题活动，旨在进一步创新社区消费场景、繁荣社区商业，为社区居民提供更多优惠的品质商品和更加便捷的服务体验，让居民切实享受</w:t>
            </w:r>
            <w:r>
              <w:rPr>
                <w:rFonts w:ascii="仿宋_GB2312" w:hAnsi="仿宋_GB2312" w:cs="仿宋_GB2312" w:eastAsia="仿宋_GB2312"/>
                <w:sz w:val="18"/>
              </w:rPr>
              <w:t>“</w:t>
            </w:r>
            <w:r>
              <w:rPr>
                <w:rFonts w:ascii="仿宋_GB2312" w:hAnsi="仿宋_GB2312" w:cs="仿宋_GB2312" w:eastAsia="仿宋_GB2312"/>
                <w:sz w:val="18"/>
              </w:rPr>
              <w:t>以旧换新</w:t>
            </w:r>
            <w:r>
              <w:rPr>
                <w:rFonts w:ascii="仿宋_GB2312" w:hAnsi="仿宋_GB2312" w:cs="仿宋_GB2312" w:eastAsia="仿宋_GB2312"/>
                <w:sz w:val="18"/>
              </w:rPr>
              <w:t>”</w:t>
            </w:r>
            <w:r>
              <w:rPr>
                <w:rFonts w:ascii="仿宋_GB2312" w:hAnsi="仿宋_GB2312" w:cs="仿宋_GB2312" w:eastAsia="仿宋_GB2312"/>
                <w:sz w:val="18"/>
              </w:rPr>
              <w:t>等便民政策带来的实惠，全方位提升社区居民消费品质，不断提高居民的满意度。</w:t>
            </w:r>
          </w:p>
          <w:p>
            <w:pPr>
              <w:pStyle w:val="null3"/>
              <w:jc w:val="both"/>
            </w:pPr>
            <w:r>
              <w:rPr>
                <w:rFonts w:ascii="仿宋_GB2312" w:hAnsi="仿宋_GB2312" w:cs="仿宋_GB2312" w:eastAsia="仿宋_GB2312"/>
                <w:sz w:val="18"/>
              </w:rPr>
              <w:t>二、服务内容</w:t>
            </w:r>
          </w:p>
          <w:p>
            <w:pPr>
              <w:pStyle w:val="null3"/>
              <w:jc w:val="both"/>
            </w:pPr>
            <w:r>
              <w:rPr>
                <w:rFonts w:ascii="仿宋_GB2312" w:hAnsi="仿宋_GB2312" w:cs="仿宋_GB2312" w:eastAsia="仿宋_GB2312"/>
                <w:sz w:val="18"/>
              </w:rPr>
              <w:t>1、第一包：委托第三方机构陆续在</w:t>
            </w:r>
            <w:r>
              <w:rPr>
                <w:rFonts w:ascii="仿宋_GB2312" w:hAnsi="仿宋_GB2312" w:cs="仿宋_GB2312" w:eastAsia="仿宋_GB2312"/>
                <w:sz w:val="18"/>
              </w:rPr>
              <w:t>20</w:t>
            </w:r>
            <w:r>
              <w:rPr>
                <w:rFonts w:ascii="仿宋_GB2312" w:hAnsi="仿宋_GB2312" w:cs="仿宋_GB2312" w:eastAsia="仿宋_GB2312"/>
                <w:sz w:val="18"/>
              </w:rPr>
              <w:t>个社区（每个社区开展</w:t>
            </w:r>
            <w:r>
              <w:rPr>
                <w:rFonts w:ascii="仿宋_GB2312" w:hAnsi="仿宋_GB2312" w:cs="仿宋_GB2312" w:eastAsia="仿宋_GB2312"/>
                <w:sz w:val="18"/>
              </w:rPr>
              <w:t>1</w:t>
            </w:r>
            <w:r>
              <w:rPr>
                <w:rFonts w:ascii="仿宋_GB2312" w:hAnsi="仿宋_GB2312" w:cs="仿宋_GB2312" w:eastAsia="仿宋_GB2312"/>
                <w:sz w:val="18"/>
              </w:rPr>
              <w:t>天活动）举办</w:t>
            </w:r>
            <w:r>
              <w:rPr>
                <w:rFonts w:ascii="仿宋_GB2312" w:hAnsi="仿宋_GB2312" w:cs="仿宋_GB2312" w:eastAsia="仿宋_GB2312"/>
                <w:sz w:val="18"/>
              </w:rPr>
              <w:t>2025</w:t>
            </w:r>
            <w:r>
              <w:rPr>
                <w:rFonts w:ascii="仿宋_GB2312" w:hAnsi="仿宋_GB2312" w:cs="仿宋_GB2312" w:eastAsia="仿宋_GB2312"/>
                <w:sz w:val="18"/>
              </w:rPr>
              <w:t>年西安市一刻钟便民生活圈促消费活动（活动预算</w:t>
            </w:r>
            <w:r>
              <w:rPr>
                <w:rFonts w:ascii="仿宋_GB2312" w:hAnsi="仿宋_GB2312" w:cs="仿宋_GB2312" w:eastAsia="仿宋_GB2312"/>
                <w:sz w:val="18"/>
              </w:rPr>
              <w:t>50</w:t>
            </w:r>
            <w:r>
              <w:rPr>
                <w:rFonts w:ascii="仿宋_GB2312" w:hAnsi="仿宋_GB2312" w:cs="仿宋_GB2312" w:eastAsia="仿宋_GB2312"/>
                <w:sz w:val="18"/>
              </w:rPr>
              <w:t>万元），开展</w:t>
            </w:r>
            <w:r>
              <w:rPr>
                <w:rFonts w:ascii="仿宋_GB2312" w:hAnsi="仿宋_GB2312" w:cs="仿宋_GB2312" w:eastAsia="仿宋_GB2312"/>
                <w:sz w:val="18"/>
              </w:rPr>
              <w:t>“</w:t>
            </w:r>
            <w:r>
              <w:rPr>
                <w:rFonts w:ascii="仿宋_GB2312" w:hAnsi="仿宋_GB2312" w:cs="仿宋_GB2312" w:eastAsia="仿宋_GB2312"/>
                <w:sz w:val="18"/>
              </w:rPr>
              <w:t>以旧换新</w:t>
            </w:r>
            <w:r>
              <w:rPr>
                <w:rFonts w:ascii="仿宋_GB2312" w:hAnsi="仿宋_GB2312" w:cs="仿宋_GB2312" w:eastAsia="仿宋_GB2312"/>
                <w:sz w:val="18"/>
              </w:rPr>
              <w:t>”</w:t>
            </w:r>
            <w:r>
              <w:rPr>
                <w:rFonts w:ascii="仿宋_GB2312" w:hAnsi="仿宋_GB2312" w:cs="仿宋_GB2312" w:eastAsia="仿宋_GB2312"/>
                <w:sz w:val="18"/>
              </w:rPr>
              <w:t>、打折促销、便民集市、金融安全宣传等便民主题活动。</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、由第三方机构提供活动策划和具体组织实施，制定活动实施和搭建方案及组织，活动现场管理，安保、保洁组织。</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、由第三方机构提供现场布置所需的物料制作，活动宣传物料设计及印刷，以及相关的专业工作人员。</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、由第三方机构提供活动现场照片、视频等（包括搭建现场），并形成活动总结。</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、第三方机构可以重复投标，但不能重复中标。</w:t>
            </w:r>
          </w:p>
          <w:p>
            <w:pPr>
              <w:pStyle w:val="null3"/>
              <w:jc w:val="both"/>
            </w:pPr>
            <w:r>
              <w:rPr>
                <w:rFonts w:ascii="仿宋_GB2312" w:hAnsi="仿宋_GB2312" w:cs="仿宋_GB2312" w:eastAsia="仿宋_GB2312"/>
                <w:sz w:val="18"/>
              </w:rPr>
              <w:t>三</w:t>
            </w:r>
            <w:r>
              <w:rPr>
                <w:rFonts w:ascii="仿宋_GB2312" w:hAnsi="仿宋_GB2312" w:cs="仿宋_GB2312" w:eastAsia="仿宋_GB2312"/>
                <w:sz w:val="21"/>
              </w:rPr>
              <w:t xml:space="preserve"> </w:t>
            </w:r>
            <w:r>
              <w:rPr>
                <w:rFonts w:ascii="仿宋_GB2312" w:hAnsi="仿宋_GB2312" w:cs="仿宋_GB2312" w:eastAsia="仿宋_GB2312"/>
                <w:sz w:val="18"/>
              </w:rPr>
              <w:t>、</w:t>
            </w:r>
            <w:r>
              <w:rPr>
                <w:rFonts w:ascii="仿宋_GB2312" w:hAnsi="仿宋_GB2312" w:cs="仿宋_GB2312" w:eastAsia="仿宋_GB2312"/>
                <w:sz w:val="18"/>
              </w:rPr>
              <w:t>技术要求</w:t>
            </w:r>
          </w:p>
          <w:p>
            <w:pPr>
              <w:pStyle w:val="null3"/>
              <w:jc w:val="both"/>
            </w:pPr>
            <w:r>
              <w:rPr>
                <w:rFonts w:ascii="仿宋_GB2312" w:hAnsi="仿宋_GB2312" w:cs="仿宋_GB2312" w:eastAsia="仿宋_GB2312"/>
                <w:sz w:val="18"/>
              </w:rPr>
              <w:t>本次活动所有搭建，相关物料制作，必须符合相关行业的标准，并做好本次活动资料的留存，包括但不限于现场摄影摄像等资料。</w:t>
            </w:r>
          </w:p>
          <w:p>
            <w:pPr>
              <w:pStyle w:val="null3"/>
              <w:jc w:val="both"/>
            </w:pPr>
            <w:r>
              <w:rPr>
                <w:rFonts w:ascii="仿宋_GB2312" w:hAnsi="仿宋_GB2312" w:cs="仿宋_GB2312" w:eastAsia="仿宋_GB2312"/>
                <w:sz w:val="18"/>
              </w:rPr>
              <w:t>四、服务要求</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、活动策划和具体组织实施，制定活动实施方案、现场搭建方案、各类应急预案，内容详见、方便可行，能够完全满足采购人需求；</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、活动场地租赁，搭建，氛围营造，活动相关物料制作、安装、摆放等；</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、活动现场管理，安保、保洁组织。</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、活动各类文字的策划、撰写。</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、在严格遵守安保、消防等相关安全规定的情况下，按时按质按量完成活动现场各项工作，确保活动效果呈现。</w:t>
            </w:r>
          </w:p>
          <w:p>
            <w:pPr>
              <w:pStyle w:val="null3"/>
              <w:jc w:val="both"/>
            </w:pPr>
            <w:r>
              <w:rPr>
                <w:rFonts w:ascii="仿宋_GB2312" w:hAnsi="仿宋_GB2312" w:cs="仿宋_GB2312" w:eastAsia="仿宋_GB2312"/>
                <w:sz w:val="18"/>
              </w:rPr>
              <w:t>五、商务要求</w:t>
            </w:r>
          </w:p>
          <w:p>
            <w:pPr>
              <w:pStyle w:val="null3"/>
              <w:jc w:val="both"/>
            </w:pPr>
            <w:r>
              <w:rPr>
                <w:rFonts w:ascii="仿宋_GB2312" w:hAnsi="仿宋_GB2312" w:cs="仿宋_GB2312" w:eastAsia="仿宋_GB2312"/>
                <w:sz w:val="18"/>
              </w:rPr>
              <w:t>（一）服务期限</w:t>
            </w:r>
          </w:p>
          <w:p>
            <w:pPr>
              <w:pStyle w:val="null3"/>
              <w:jc w:val="both"/>
            </w:pPr>
            <w:r>
              <w:rPr>
                <w:rFonts w:ascii="仿宋_GB2312" w:hAnsi="仿宋_GB2312" w:cs="仿宋_GB2312" w:eastAsia="仿宋_GB2312"/>
                <w:sz w:val="18"/>
              </w:rPr>
              <w:t>服务期限：自合同签订之日起至项目结束</w:t>
            </w:r>
          </w:p>
          <w:p>
            <w:pPr>
              <w:pStyle w:val="null3"/>
              <w:jc w:val="both"/>
            </w:pPr>
            <w:r>
              <w:rPr>
                <w:rFonts w:ascii="仿宋_GB2312" w:hAnsi="仿宋_GB2312" w:cs="仿宋_GB2312" w:eastAsia="仿宋_GB2312"/>
                <w:sz w:val="18"/>
              </w:rPr>
              <w:t>（二）款项结算</w:t>
            </w:r>
          </w:p>
          <w:p>
            <w:pPr>
              <w:pStyle w:val="null3"/>
              <w:jc w:val="both"/>
            </w:pPr>
            <w:r>
              <w:rPr>
                <w:rFonts w:ascii="仿宋_GB2312" w:hAnsi="仿宋_GB2312" w:cs="仿宋_GB2312" w:eastAsia="仿宋_GB2312"/>
                <w:sz w:val="18"/>
              </w:rPr>
              <w:t>合同签订后，供应商向采购方开具等额的增值税普通发票，采购方收到合规的发票，达到付款条件后</w:t>
            </w:r>
            <w:r>
              <w:rPr>
                <w:rFonts w:ascii="仿宋_GB2312" w:hAnsi="仿宋_GB2312" w:cs="仿宋_GB2312" w:eastAsia="仿宋_GB2312"/>
                <w:sz w:val="18"/>
              </w:rPr>
              <w:t>15</w:t>
            </w:r>
            <w:r>
              <w:rPr>
                <w:rFonts w:ascii="仿宋_GB2312" w:hAnsi="仿宋_GB2312" w:cs="仿宋_GB2312" w:eastAsia="仿宋_GB2312"/>
                <w:sz w:val="18"/>
              </w:rPr>
              <w:t>个工作日内向乙方支付合同金额的</w:t>
            </w:r>
            <w:r>
              <w:rPr>
                <w:rFonts w:ascii="仿宋_GB2312" w:hAnsi="仿宋_GB2312" w:cs="仿宋_GB2312" w:eastAsia="仿宋_GB2312"/>
                <w:sz w:val="18"/>
              </w:rPr>
              <w:t>60%</w:t>
            </w:r>
            <w:r>
              <w:rPr>
                <w:rFonts w:ascii="仿宋_GB2312" w:hAnsi="仿宋_GB2312" w:cs="仿宋_GB2312" w:eastAsia="仿宋_GB2312"/>
                <w:sz w:val="18"/>
              </w:rPr>
              <w:t>项目资金。</w:t>
            </w:r>
          </w:p>
          <w:p>
            <w:pPr>
              <w:pStyle w:val="null3"/>
              <w:jc w:val="both"/>
            </w:pPr>
            <w:r>
              <w:rPr>
                <w:rFonts w:ascii="仿宋_GB2312" w:hAnsi="仿宋_GB2312" w:cs="仿宋_GB2312" w:eastAsia="仿宋_GB2312"/>
                <w:sz w:val="18"/>
              </w:rPr>
              <w:t>剩余</w:t>
            </w:r>
            <w:r>
              <w:rPr>
                <w:rFonts w:ascii="仿宋_GB2312" w:hAnsi="仿宋_GB2312" w:cs="仿宋_GB2312" w:eastAsia="仿宋_GB2312"/>
                <w:sz w:val="18"/>
              </w:rPr>
              <w:t>40%</w:t>
            </w:r>
            <w:r>
              <w:rPr>
                <w:rFonts w:ascii="仿宋_GB2312" w:hAnsi="仿宋_GB2312" w:cs="仿宋_GB2312" w:eastAsia="仿宋_GB2312"/>
                <w:sz w:val="18"/>
              </w:rPr>
              <w:t>，待项目验收合格后，供应商向采购方开具等额的增值税普通发票，采购方收到合规的发票，达到付款条件后</w:t>
            </w:r>
            <w:r>
              <w:rPr>
                <w:rFonts w:ascii="仿宋_GB2312" w:hAnsi="仿宋_GB2312" w:cs="仿宋_GB2312" w:eastAsia="仿宋_GB2312"/>
                <w:sz w:val="18"/>
              </w:rPr>
              <w:t>15</w:t>
            </w:r>
            <w:r>
              <w:rPr>
                <w:rFonts w:ascii="仿宋_GB2312" w:hAnsi="仿宋_GB2312" w:cs="仿宋_GB2312" w:eastAsia="仿宋_GB2312"/>
                <w:sz w:val="18"/>
              </w:rPr>
              <w:t>个工作日内一次性支付。</w:t>
            </w:r>
          </w:p>
          <w:p>
            <w:pPr>
              <w:pStyle w:val="null3"/>
              <w:jc w:val="both"/>
            </w:pPr>
            <w:r>
              <w:rPr>
                <w:rFonts w:ascii="仿宋_GB2312" w:hAnsi="仿宋_GB2312" w:cs="仿宋_GB2312" w:eastAsia="仿宋_GB2312"/>
                <w:sz w:val="18"/>
              </w:rPr>
              <w:t>六、其他</w:t>
            </w:r>
          </w:p>
          <w:p>
            <w:pPr>
              <w:pStyle w:val="null3"/>
              <w:jc w:val="both"/>
            </w:pPr>
            <w:r>
              <w:rPr>
                <w:rFonts w:ascii="仿宋_GB2312" w:hAnsi="仿宋_GB2312" w:cs="仿宋_GB2312" w:eastAsia="仿宋_GB2312"/>
                <w:sz w:val="18"/>
              </w:rPr>
              <w:t>（一）对服务商的业绩要求</w:t>
            </w:r>
          </w:p>
          <w:p>
            <w:pPr>
              <w:pStyle w:val="null3"/>
              <w:jc w:val="both"/>
            </w:pPr>
            <w:r>
              <w:rPr>
                <w:rFonts w:ascii="仿宋_GB2312" w:hAnsi="仿宋_GB2312" w:cs="仿宋_GB2312" w:eastAsia="仿宋_GB2312"/>
                <w:sz w:val="18"/>
              </w:rPr>
              <w:t>具有类似项目业绩和项目组织实施能力。</w:t>
            </w:r>
          </w:p>
          <w:p>
            <w:pPr>
              <w:pStyle w:val="null3"/>
              <w:jc w:val="both"/>
            </w:pPr>
            <w:r>
              <w:rPr>
                <w:rFonts w:ascii="仿宋_GB2312" w:hAnsi="仿宋_GB2312" w:cs="仿宋_GB2312" w:eastAsia="仿宋_GB2312"/>
                <w:sz w:val="18"/>
              </w:rPr>
              <w:t>（二）进度要求</w:t>
            </w:r>
          </w:p>
          <w:p>
            <w:pPr>
              <w:pStyle w:val="null3"/>
              <w:jc w:val="both"/>
            </w:pPr>
            <w:r>
              <w:rPr>
                <w:rFonts w:ascii="仿宋_GB2312" w:hAnsi="仿宋_GB2312" w:cs="仿宋_GB2312" w:eastAsia="仿宋_GB2312"/>
                <w:sz w:val="18"/>
              </w:rPr>
              <w:t>按甲方进度要求组织。</w:t>
            </w:r>
          </w:p>
          <w:p>
            <w:pPr>
              <w:pStyle w:val="null3"/>
              <w:jc w:val="both"/>
            </w:pPr>
            <w:r>
              <w:rPr>
                <w:rFonts w:ascii="仿宋_GB2312" w:hAnsi="仿宋_GB2312" w:cs="仿宋_GB2312" w:eastAsia="仿宋_GB2312"/>
                <w:sz w:val="18"/>
              </w:rPr>
              <w:t>（三）成果交付要求</w:t>
            </w:r>
          </w:p>
          <w:p>
            <w:pPr>
              <w:pStyle w:val="null3"/>
              <w:jc w:val="both"/>
            </w:pPr>
            <w:r>
              <w:rPr>
                <w:rFonts w:ascii="仿宋_GB2312" w:hAnsi="仿宋_GB2312" w:cs="仿宋_GB2312" w:eastAsia="仿宋_GB2312"/>
                <w:sz w:val="18"/>
              </w:rPr>
              <w:t>表现内容达到方案要求。</w:t>
            </w:r>
          </w:p>
          <w:p>
            <w:pPr>
              <w:pStyle w:val="null3"/>
              <w:jc w:val="both"/>
            </w:pPr>
            <w:r>
              <w:rPr>
                <w:rFonts w:ascii="仿宋_GB2312" w:hAnsi="仿宋_GB2312" w:cs="仿宋_GB2312" w:eastAsia="仿宋_GB2312"/>
                <w:sz w:val="18"/>
              </w:rPr>
              <w:t>（四）质量验收标准或规范</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、服务期满后按照成交供应商所提供的资料及数据进行验收；</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、最终验收：自合同签订之日起至完成全部项目内容，需按照采购人确定的时间完成交付并验收合格，验收合格后，填写验收单。</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、验收和评价方式</w:t>
            </w:r>
          </w:p>
          <w:p>
            <w:pPr>
              <w:pStyle w:val="null3"/>
              <w:jc w:val="both"/>
            </w:pPr>
            <w:r>
              <w:rPr>
                <w:rFonts w:ascii="仿宋_GB2312" w:hAnsi="仿宋_GB2312" w:cs="仿宋_GB2312" w:eastAsia="仿宋_GB2312"/>
                <w:sz w:val="18"/>
              </w:rPr>
              <w:t xml:space="preserve">3.1  </w:t>
            </w:r>
            <w:r>
              <w:rPr>
                <w:rFonts w:ascii="仿宋_GB2312" w:hAnsi="仿宋_GB2312" w:cs="仿宋_GB2312" w:eastAsia="仿宋_GB2312"/>
                <w:sz w:val="18"/>
              </w:rPr>
              <w:t>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jc w:val="both"/>
            </w:pPr>
            <w:r>
              <w:rPr>
                <w:rFonts w:ascii="仿宋_GB2312" w:hAnsi="仿宋_GB2312" w:cs="仿宋_GB2312" w:eastAsia="仿宋_GB2312"/>
                <w:sz w:val="18"/>
              </w:rPr>
              <w:t xml:space="preserve">3.2  </w:t>
            </w:r>
            <w:r>
              <w:rPr>
                <w:rFonts w:ascii="仿宋_GB2312" w:hAnsi="仿宋_GB2312" w:cs="仿宋_GB2312" w:eastAsia="仿宋_GB2312"/>
                <w:sz w:val="18"/>
              </w:rPr>
              <w:t>若发现乙方有弄虚作假的，及在项目实施阶段故意或随意夸大服务，本项目合同解除，乙方赔偿甲方相应的损失。</w:t>
            </w:r>
          </w:p>
          <w:p>
            <w:pPr>
              <w:pStyle w:val="null3"/>
              <w:jc w:val="both"/>
            </w:pPr>
            <w:r>
              <w:rPr>
                <w:rFonts w:ascii="仿宋_GB2312" w:hAnsi="仿宋_GB2312" w:cs="仿宋_GB2312" w:eastAsia="仿宋_GB2312"/>
                <w:sz w:val="18"/>
              </w:rPr>
              <w:t xml:space="preserve">3.3  </w:t>
            </w:r>
            <w:r>
              <w:rPr>
                <w:rFonts w:ascii="仿宋_GB2312" w:hAnsi="仿宋_GB2312" w:cs="仿宋_GB2312" w:eastAsia="仿宋_GB2312"/>
                <w:sz w:val="18"/>
              </w:rPr>
              <w:t>验收标准：按磋商文件、磋商响应文件等服务指标进行逐项验收，各项指标均应符合验收标准及要求。</w:t>
            </w:r>
          </w:p>
          <w:p>
            <w:pPr>
              <w:pStyle w:val="null3"/>
              <w:jc w:val="both"/>
            </w:pPr>
            <w:r>
              <w:rPr>
                <w:rFonts w:ascii="仿宋_GB2312" w:hAnsi="仿宋_GB2312" w:cs="仿宋_GB2312" w:eastAsia="仿宋_GB2312"/>
                <w:sz w:val="18"/>
              </w:rPr>
              <w:t xml:space="preserve">3.4  </w:t>
            </w:r>
            <w:r>
              <w:rPr>
                <w:rFonts w:ascii="仿宋_GB2312" w:hAnsi="仿宋_GB2312" w:cs="仿宋_GB2312" w:eastAsia="仿宋_GB2312"/>
                <w:sz w:val="18"/>
              </w:rPr>
              <w:t>验收合格后，填写验收单，双方盖章、签字生效。</w:t>
            </w:r>
          </w:p>
          <w:p>
            <w:pPr>
              <w:pStyle w:val="null3"/>
              <w:jc w:val="both"/>
            </w:pPr>
            <w:r>
              <w:rPr>
                <w:rFonts w:ascii="仿宋_GB2312" w:hAnsi="仿宋_GB2312" w:cs="仿宋_GB2312" w:eastAsia="仿宋_GB2312"/>
                <w:sz w:val="18"/>
              </w:rPr>
              <w:t xml:space="preserve">3.5  </w:t>
            </w:r>
            <w:r>
              <w:rPr>
                <w:rFonts w:ascii="仿宋_GB2312" w:hAnsi="仿宋_GB2312" w:cs="仿宋_GB2312" w:eastAsia="仿宋_GB2312"/>
                <w:sz w:val="18"/>
              </w:rPr>
              <w:t>验收依据</w:t>
            </w:r>
          </w:p>
          <w:p>
            <w:pPr>
              <w:pStyle w:val="null3"/>
              <w:jc w:val="both"/>
            </w:pPr>
            <w:r>
              <w:rPr>
                <w:rFonts w:ascii="仿宋_GB2312" w:hAnsi="仿宋_GB2312" w:cs="仿宋_GB2312" w:eastAsia="仿宋_GB2312"/>
                <w:sz w:val="18"/>
              </w:rPr>
              <w:t xml:space="preserve">3.5.1  </w:t>
            </w:r>
            <w:r>
              <w:rPr>
                <w:rFonts w:ascii="仿宋_GB2312" w:hAnsi="仿宋_GB2312" w:cs="仿宋_GB2312" w:eastAsia="仿宋_GB2312"/>
                <w:sz w:val="18"/>
              </w:rPr>
              <w:t>合同文本。</w:t>
            </w:r>
          </w:p>
          <w:p>
            <w:pPr>
              <w:pStyle w:val="null3"/>
              <w:jc w:val="both"/>
            </w:pPr>
            <w:r>
              <w:rPr>
                <w:rFonts w:ascii="仿宋_GB2312" w:hAnsi="仿宋_GB2312" w:cs="仿宋_GB2312" w:eastAsia="仿宋_GB2312"/>
                <w:sz w:val="18"/>
              </w:rPr>
              <w:t xml:space="preserve">3.5.2  </w:t>
            </w:r>
            <w:r>
              <w:rPr>
                <w:rFonts w:ascii="仿宋_GB2312" w:hAnsi="仿宋_GB2312" w:cs="仿宋_GB2312" w:eastAsia="仿宋_GB2312"/>
                <w:sz w:val="18"/>
              </w:rPr>
              <w:t>磋商响应文件、磋商文件、澄清函。</w:t>
            </w:r>
          </w:p>
          <w:p>
            <w:pPr>
              <w:pStyle w:val="null3"/>
              <w:jc w:val="both"/>
            </w:pPr>
            <w:r>
              <w:rPr>
                <w:rFonts w:ascii="仿宋_GB2312" w:hAnsi="仿宋_GB2312" w:cs="仿宋_GB2312" w:eastAsia="仿宋_GB2312"/>
                <w:sz w:val="18"/>
              </w:rPr>
              <w:t xml:space="preserve">3.5.3  </w:t>
            </w:r>
            <w:r>
              <w:rPr>
                <w:rFonts w:ascii="仿宋_GB2312" w:hAnsi="仿宋_GB2312" w:cs="仿宋_GB2312" w:eastAsia="仿宋_GB2312"/>
                <w:sz w:val="18"/>
              </w:rPr>
              <w:t>国家和行业制定的相应的标准和规范。</w:t>
            </w:r>
          </w:p>
          <w:p>
            <w:pPr>
              <w:pStyle w:val="null3"/>
              <w:jc w:val="both"/>
            </w:pPr>
            <w:r>
              <w:rPr>
                <w:rFonts w:ascii="仿宋_GB2312" w:hAnsi="仿宋_GB2312" w:cs="仿宋_GB2312" w:eastAsia="仿宋_GB2312"/>
                <w:sz w:val="18"/>
              </w:rPr>
              <w:t>七、违约责任</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、按《民法典》中的相关条款执行。</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、由于</w:t>
            </w:r>
            <w:r>
              <w:rPr>
                <w:rFonts w:ascii="仿宋_GB2312" w:hAnsi="仿宋_GB2312" w:cs="仿宋_GB2312" w:eastAsia="仿宋_GB2312"/>
                <w:sz w:val="18"/>
              </w:rPr>
              <w:t>“</w:t>
            </w:r>
            <w:r>
              <w:rPr>
                <w:rFonts w:ascii="仿宋_GB2312" w:hAnsi="仿宋_GB2312" w:cs="仿宋_GB2312" w:eastAsia="仿宋_GB2312"/>
                <w:sz w:val="18"/>
              </w:rPr>
              <w:t>疫情</w:t>
            </w:r>
            <w:r>
              <w:rPr>
                <w:rFonts w:ascii="仿宋_GB2312" w:hAnsi="仿宋_GB2312" w:cs="仿宋_GB2312" w:eastAsia="仿宋_GB2312"/>
                <w:sz w:val="18"/>
              </w:rPr>
              <w:t>”</w:t>
            </w:r>
            <w:r>
              <w:rPr>
                <w:rFonts w:ascii="仿宋_GB2312" w:hAnsi="仿宋_GB2312" w:cs="仿宋_GB2312" w:eastAsia="仿宋_GB2312"/>
                <w:sz w:val="18"/>
              </w:rPr>
              <w:t>等不可抗力因素造成无法按照原计划提供服务，双方互不追究违约责任。</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、如有异议</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、供应商如未按照采购要求完成服务内容，除应赔偿采购人所受全部损失以外，还应承担本合同总额</w:t>
            </w:r>
            <w:r>
              <w:rPr>
                <w:rFonts w:ascii="仿宋_GB2312" w:hAnsi="仿宋_GB2312" w:cs="仿宋_GB2312" w:eastAsia="仿宋_GB2312"/>
                <w:sz w:val="18"/>
              </w:rPr>
              <w:t>20%</w:t>
            </w:r>
            <w:r>
              <w:rPr>
                <w:rFonts w:ascii="仿宋_GB2312" w:hAnsi="仿宋_GB2312" w:cs="仿宋_GB2312" w:eastAsia="仿宋_GB2312"/>
                <w:sz w:val="18"/>
              </w:rPr>
              <w:t>的违约金。</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满足实施本项目人员配置要求。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满足实施本项目设施设备要求。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1、验收标准：按磋商文件、磋商响应文件等服务指标进行逐项验收，各项指标均应符合验收标准及要求。 2、 验收合格后，填写验收单，双方盖章、签字生效。 3、 验收依据 3.1 合同文本。 3.2 磋商响应文件、磋商文件、澄清函。 3.3 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合同签订后，供应商向采购方开具等额的增值税普通发票，采购方收到合规的发票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待项目验收合格后，供应商向采购方开具等额的增值税普通发票，采购方收到合规的发票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3、由于“疫情”等不可抗力因素造成无法按照原计划提供服务，双方互不追究违约责任。 4、如有异议另行协商。 5、供应商如未按照采购要求完成服务内容，除应赔偿采购人所受全部损失以外，还应承担本合同总额20%的违约金。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 1、服务质量：合格；2、本项目通过电子化交易系统协商，供应商需在电子化交易系统上传响应的文件。成交供应商须在成交结果公示后三个工作日内向采购代理机构提供一正两副纸质响应文件及电子版2份（签字盖章扫描PDF和word文档格式，U盘存储），递交地址：陕西省西安市经济技术开发区凤城八路长和国际F座22层，联系电话：029-86522030转612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磋商响应单位代表身份</w:t>
            </w:r>
          </w:p>
        </w:tc>
        <w:tc>
          <w:tcPr>
            <w:tcW w:type="dxa" w:w="3322"/>
          </w:tcPr>
          <w:p>
            <w:pPr>
              <w:pStyle w:val="null3"/>
            </w:pPr>
            <w:r>
              <w:rPr>
                <w:rFonts w:ascii="仿宋_GB2312" w:hAnsi="仿宋_GB2312" w:cs="仿宋_GB2312" w:eastAsia="仿宋_GB2312"/>
              </w:rPr>
              <w:t>法定代表人参加投标时，提供本人身份证；授权代表参加投标时，提供法定代表人授权书和被授权人身份证；非法人单位参照执行；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提供供应商2023年或者2024年经审计的财务报告或磋商前三个月内开户银行开具的资信证明；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经营活动</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磋商单位负责人为同一人或者存在控股、管理关系的不同单位不得同时进行投标；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“信用中国”网站和“中国政府采购网”查询截图</w:t>
            </w:r>
          </w:p>
        </w:tc>
        <w:tc>
          <w:tcPr>
            <w:tcW w:type="dxa" w:w="3322"/>
          </w:tcPr>
          <w:p>
            <w:pPr>
              <w:pStyle w:val="null3"/>
            </w:pPr>
            <w:r>
              <w:rPr>
                <w:rFonts w:ascii="仿宋_GB2312" w:hAnsi="仿宋_GB2312" w:cs="仿宋_GB2312" w:eastAsia="仿宋_GB2312"/>
              </w:rPr>
              <w:t>响应单位不得为“信用中国”网站（www.creditchina.gov.cn）（中国执行信息公开网）和中国政府采购网（www.ccgp.gov.cn）中被列入失信被执行人、重大税收违法失信主体、政府采购严重违法失信行为记录名单的单位；</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本项目采购包1为专门面向中小企业项目，供应商须为中型企业或者小型、微型企业或监狱企业或残疾人福利性单位。</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在磋商响应文件中指定落款处，按文件要求盖章或签字</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与磋商内容一致，无重大偏离</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自磋商响应文件递交之日起不少于90个日历天</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未超过磋商最高限价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从项目背景和对工作内容的理解、整体方案工作思路等方面进行描述。 对本项目背景和工作内容的理解深刻、分析全面，工作思路清晰，得[3-5]分。 对本项目背景和工作内容的理解较为深刻、分析较为全面，工作思路较为清晰，得[1-3)分。不提供不得分。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场地策划方案</w:t>
            </w:r>
          </w:p>
        </w:tc>
        <w:tc>
          <w:tcPr>
            <w:tcW w:type="dxa" w:w="2492"/>
          </w:tcPr>
          <w:p>
            <w:pPr>
              <w:pStyle w:val="null3"/>
            </w:pPr>
            <w:r>
              <w:rPr>
                <w:rFonts w:ascii="仿宋_GB2312" w:hAnsi="仿宋_GB2312" w:cs="仿宋_GB2312" w:eastAsia="仿宋_GB2312"/>
              </w:rPr>
              <w:t>现场布置策划方案规划合理、环节清楚、内容丰富、主题突出，活动外围氛围布置具有美感、整体协调，得[14-20]分； 现场布置策划方案规划一般、环节清楚、内容全面，整体基本协调，得[7-14)分； 现场布置策划方案不全面，整体不协调，得[1-7)分。不提供不得分。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活动现场布置方案</w:t>
            </w:r>
          </w:p>
        </w:tc>
        <w:tc>
          <w:tcPr>
            <w:tcW w:type="dxa" w:w="2492"/>
          </w:tcPr>
          <w:p>
            <w:pPr>
              <w:pStyle w:val="null3"/>
            </w:pPr>
            <w:r>
              <w:rPr>
                <w:rFonts w:ascii="仿宋_GB2312" w:hAnsi="仿宋_GB2312" w:cs="仿宋_GB2312" w:eastAsia="仿宋_GB2312"/>
              </w:rPr>
              <w:t>活动现场布置科学得当、道具符合要求，画面（美陈设计）设置完美体现主题，得[14-20]分。 活动现场布置较为得当、道具基本符合要求，画面（美陈设计）设置基本体现主题，得[7-14)分。 活动现场布置整体不协调、道具不符合要求，画面（美陈设计）设置不能体现主题，得[1-7)分。不提供不得分。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安全及质量保证措施</w:t>
            </w:r>
          </w:p>
        </w:tc>
        <w:tc>
          <w:tcPr>
            <w:tcW w:type="dxa" w:w="2492"/>
          </w:tcPr>
          <w:p>
            <w:pPr>
              <w:pStyle w:val="null3"/>
            </w:pPr>
            <w:r>
              <w:rPr>
                <w:rFonts w:ascii="仿宋_GB2312" w:hAnsi="仿宋_GB2312" w:cs="仿宋_GB2312" w:eastAsia="仿宋_GB2312"/>
              </w:rPr>
              <w:t>质量保证和安全保证措施健全，内容完整、目标清晰、科学合理、针对性及可操作性强，得[7-10]分。 质量保证和安全保证措施较为健全，内容较为完整、目标较为清晰、针对性及可操作性一般，得[4-7)分。 质量保证和安全保证措施内容不完整、目标模糊、针对性及可操作性不强，得[1-4)分。不提供不得分。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进度计划合理、科学、先进、完全满足服务要求，得[7-10]分。 进度计划较为合理、科学、基本满足服务要求，得[4-7)分。 进度计划不能完全满足服务要求，得[1-4)分。不提供不得分。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拟投入的项目团队人员情况</w:t>
            </w:r>
          </w:p>
        </w:tc>
        <w:tc>
          <w:tcPr>
            <w:tcW w:type="dxa" w:w="2492"/>
          </w:tcPr>
          <w:p>
            <w:pPr>
              <w:pStyle w:val="null3"/>
            </w:pPr>
            <w:r>
              <w:rPr>
                <w:rFonts w:ascii="仿宋_GB2312" w:hAnsi="仿宋_GB2312" w:cs="仿宋_GB2312" w:eastAsia="仿宋_GB2312"/>
              </w:rPr>
              <w:t>项目团队人员配置全面，经验丰富，人员管理结构数量合理，得[7-10]分； 项目团队人员配置较为全面、经验较为丰富，人员管理结构数量较合理，得[4-7）分； 项目团队人员配置不全面，经验较少，人员管理结构数量不合理，得[1-4）分。不提供不得分。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后勤保障方案</w:t>
            </w:r>
          </w:p>
        </w:tc>
        <w:tc>
          <w:tcPr>
            <w:tcW w:type="dxa" w:w="2492"/>
          </w:tcPr>
          <w:p>
            <w:pPr>
              <w:pStyle w:val="null3"/>
            </w:pPr>
            <w:r>
              <w:rPr>
                <w:rFonts w:ascii="仿宋_GB2312" w:hAnsi="仿宋_GB2312" w:cs="仿宋_GB2312" w:eastAsia="仿宋_GB2312"/>
              </w:rPr>
              <w:t>现场安保、场地卫生、场地恢复、人员离场等后勤保障措施。 措施合理、科学、可操作性强，完全满足服务要求，得[4-5]分。 措施较为合理、科学、可操作性一般，基本满足服务要求，得[3-4)分。 措施不能完全满足服务要求，得[1-3)分。不提供不得分。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有针对项目实施过程中的各类突发事件的应急措施。 方案合理，可行性强，得[3-5]分； 方案缺少一定的可行性，得[1-3）分。不提供不得分。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供应商2022年4月至今同类项目业绩；每提供1份计2.5分，最高得5分。 业绩证明（以合同或中标/成交通知书为准，须在磋商响应文件中附以上证明材料的扫描件加盖单位公章）不提供不得分。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价格分采用低价优先法计算，即满足磋商文件要求且磋商报价最低的供应商的价格为磋商基准价，其价格分为满分。 其他供应商的价格分统一按照下列公式计算：磋商报价得分=磋商基准价/磋商报价*100%*10。 价格分计算：四舍五入，保留两位小数。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