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版本号：0617-2521HZ074720250515001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2025年校园文化建设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0617-2521HZ0747</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2025年校园文化建设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0617-2521HZ0747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2025年校园文化建设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总书记强调，要注重以文化人、以文育人，广泛开展文明校园创建。学院为贯彻落实文明校园创建目标，拟进行2025年校园文化建设项目。校园文化建设坚持立德树人根本宗旨，以学生全面发展和成长成才为目标，着眼于人才培养全过程，融合思政教育元素，突出环境育人功能，突出职业教育特色，创新教育思路，拓展有力载体，扎实推进大学生思想政治教育机制创新，努力打造教育功能健全、文化氛围浓厚、职业特色鲜明、院内外影响力突出的文化建设品牌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采购包1（2025年校园文化建设）：属于专门面向小微企业采购。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029-88511408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刘洁茜、宋鹏飞、张喆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相关LED</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收费标准进行收费。收款账号：开户名称：西北（陕西）国际招标有限公司 开户银行： 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按磋商文件、响应文件及合同相关条款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总书记强调，要注重以文化人、以文育人，广泛开展文明校园创建。学院为贯彻落实文明校园创建目标，拟进行2025年校园文化建设项目。校园文化建设坚持立德树人根本宗旨，以学生全面发展和成长成才为目标，着眼于人才培养全过程，融合思政教育元素，突出环境育人功能，突出职业教育特色，创新教育思路，拓展有力载体，扎实推进大学生思想政治教育机制创新，努力打造教育功能健全、文化氛围浓厚、职业特色鲜明、院内外影响力突出的文化建设品牌工程。</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文化长廊等校园文化建设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标的名称：文化长廊等校园文化建设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b/>
              </w:rPr>
              <w:t>一、采购内容</w:t>
            </w:r>
          </w:p>
          <w:p>
            <w:pPr>
              <w:pStyle w:val="null3"/>
              <w:ind w:firstLine="400"/>
              <w:jc w:val="both"/>
            </w:pPr>
            <w:r>
              <w:rPr>
                <w:rFonts w:ascii="仿宋_GB2312" w:hAnsi="仿宋_GB2312" w:cs="仿宋_GB2312" w:eastAsia="仿宋_GB2312"/>
                <w:sz w:val="20"/>
              </w:rPr>
              <w:t>2025</w:t>
            </w:r>
            <w:r>
              <w:rPr>
                <w:rFonts w:ascii="仿宋_GB2312" w:hAnsi="仿宋_GB2312" w:cs="仿宋_GB2312" w:eastAsia="仿宋_GB2312"/>
                <w:sz w:val="20"/>
              </w:rPr>
              <w:t>年校园文化建设项目主要根据学院主校区的具体情况，选择师生们相对集中的教学楼活动空间，主要营造室内走廊环境以达到使学生在教学楼内处处受教育、时时受启发的效果。结合各个二级学院的专业特色和教育重点，设计并制作各教学楼一层的墙面文化建设，定制主题文化墙及顶部布置，采用长廊、文化墙等方式实现文化育人的目的。</w:t>
            </w:r>
          </w:p>
          <w:p>
            <w:pPr>
              <w:pStyle w:val="null3"/>
              <w:jc w:val="left"/>
            </w:pPr>
            <w:r>
              <w:rPr>
                <w:rFonts w:ascii="仿宋_GB2312" w:hAnsi="仿宋_GB2312" w:cs="仿宋_GB2312" w:eastAsia="仿宋_GB2312"/>
                <w:sz w:val="20"/>
                <w:b/>
              </w:rPr>
              <w:t>二、技术要求</w:t>
            </w:r>
          </w:p>
          <w:tbl>
            <w:tblPr>
              <w:tblBorders>
                <w:top w:val="none" w:color="000000" w:sz="4"/>
                <w:left w:val="none" w:color="000000" w:sz="4"/>
                <w:bottom w:val="none" w:color="000000" w:sz="4"/>
                <w:right w:val="none" w:color="000000" w:sz="4"/>
                <w:insideH w:val="none"/>
                <w:insideV w:val="none"/>
              </w:tblBorders>
            </w:tblPr>
            <w:tblGrid>
              <w:gridCol w:w="155"/>
              <w:gridCol w:w="512"/>
              <w:gridCol w:w="396"/>
              <w:gridCol w:w="1035"/>
              <w:gridCol w:w="227"/>
              <w:gridCol w:w="227"/>
            </w:tblGrid>
            <w:tr>
              <w:tc>
                <w:tcPr>
                  <w:tcW w:type="dxa" w:w="155"/>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位置</w:t>
                  </w:r>
                </w:p>
              </w:tc>
              <w:tc>
                <w:tcPr>
                  <w:tcW w:type="dxa" w:w="51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内容</w:t>
                  </w:r>
                </w:p>
              </w:tc>
              <w:tc>
                <w:tcPr>
                  <w:tcW w:type="dxa" w:w="39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w:t>
                  </w:r>
                </w:p>
              </w:tc>
              <w:tc>
                <w:tcPr>
                  <w:tcW w:type="dxa" w:w="1035"/>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材质工艺</w:t>
                  </w:r>
                </w:p>
              </w:tc>
              <w:tc>
                <w:tcPr>
                  <w:tcW w:type="dxa" w:w="22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22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r>
            <w:tr>
              <w:tc>
                <w:tcPr>
                  <w:tcW w:type="dxa" w:w="1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w:t>
                  </w:r>
                </w:p>
                <w:p>
                  <w:pPr>
                    <w:pStyle w:val="null3"/>
                    <w:jc w:val="center"/>
                  </w:pPr>
                  <w:r>
                    <w:rPr>
                      <w:rFonts w:ascii="仿宋_GB2312" w:hAnsi="仿宋_GB2312" w:cs="仿宋_GB2312" w:eastAsia="仿宋_GB2312"/>
                      <w:sz w:val="21"/>
                    </w:rPr>
                    <w:t>学</w:t>
                  </w:r>
                </w:p>
                <w:p>
                  <w:pPr>
                    <w:pStyle w:val="null3"/>
                    <w:jc w:val="center"/>
                  </w:pPr>
                  <w:r>
                    <w:rPr>
                      <w:rFonts w:ascii="仿宋_GB2312" w:hAnsi="仿宋_GB2312" w:cs="仿宋_GB2312" w:eastAsia="仿宋_GB2312"/>
                      <w:sz w:val="21"/>
                    </w:rPr>
                    <w:t>楼</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卡布灯箱</w:t>
                  </w:r>
                  <w:r>
                    <w:br/>
                  </w:r>
                  <w:r>
                    <w:rPr>
                      <w:rFonts w:ascii="仿宋_GB2312" w:hAnsi="仿宋_GB2312" w:cs="仿宋_GB2312" w:eastAsia="仿宋_GB2312"/>
                      <w:sz w:val="21"/>
                    </w:rPr>
                    <w:t>（核心产品）</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120*240</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1.材质：镀铝型材外框、阳光板、LED光源</w:t>
                  </w:r>
                  <w:r>
                    <w:br/>
                  </w:r>
                  <w:r>
                    <w:rPr>
                      <w:rFonts w:ascii="仿宋_GB2312" w:hAnsi="仿宋_GB2312" w:cs="仿宋_GB2312" w:eastAsia="仿宋_GB2312"/>
                      <w:sz w:val="21"/>
                    </w:rPr>
                    <w:t>2.内容：软膜灯片</w:t>
                  </w:r>
                  <w:r>
                    <w:br/>
                  </w:r>
                  <w:r>
                    <w:rPr>
                      <w:rFonts w:ascii="仿宋_GB2312" w:hAnsi="仿宋_GB2312" w:cs="仿宋_GB2312" w:eastAsia="仿宋_GB2312"/>
                      <w:sz w:val="21"/>
                    </w:rPr>
                    <w:t>3.安装方式：螺栓固定</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55"/>
                  <w:vMerge/>
                  <w:tcBorders>
                    <w:top w:val="none" w:color="000000" w:sz="4"/>
                    <w:left w:val="single" w:color="000000" w:sz="4"/>
                    <w:bottom w:val="single" w:color="000000" w:sz="4"/>
                    <w:right w:val="single" w:color="000000" w:sz="4"/>
                  </w:tcBorders>
                </w:tcP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一号教学楼走廊</w:t>
                  </w:r>
                </w:p>
                <w:p>
                  <w:pPr>
                    <w:pStyle w:val="null3"/>
                    <w:jc w:val="center"/>
                  </w:pPr>
                  <w:r>
                    <w:rPr>
                      <w:rFonts w:ascii="仿宋_GB2312" w:hAnsi="仿宋_GB2312" w:cs="仿宋_GB2312" w:eastAsia="仿宋_GB2312"/>
                      <w:sz w:val="21"/>
                    </w:rPr>
                    <w:t>造型文化墙</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w:t>
                  </w:r>
                </w:p>
              </w:tc>
              <w:tc>
                <w:tcPr>
                  <w:tcW w:type="dxa" w:w="10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1.材质：底板防火板、造型厚度（石膏板及木工板相结合）、迷你字、亚克力字、壁布及壁布包边，照片部分选用PVC+亚克力UV、磁吸塑贴片等综合工艺</w:t>
                  </w:r>
                </w:p>
                <w:p>
                  <w:pPr>
                    <w:pStyle w:val="null3"/>
                    <w:jc w:val="left"/>
                  </w:pPr>
                  <w:r>
                    <w:rPr>
                      <w:rFonts w:ascii="仿宋_GB2312" w:hAnsi="仿宋_GB2312" w:cs="仿宋_GB2312" w:eastAsia="仿宋_GB2312"/>
                      <w:sz w:val="21"/>
                    </w:rPr>
                    <w:t>2.安装方式：木工固定、打孔、粘贴</w:t>
                  </w:r>
                </w:p>
                <w:p>
                  <w:pPr>
                    <w:pStyle w:val="null3"/>
                    <w:jc w:val="left"/>
                  </w:pP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5"/>
                  <w:vMerge/>
                  <w:tcBorders>
                    <w:top w:val="none" w:color="000000" w:sz="4"/>
                    <w:left w:val="single" w:color="000000" w:sz="4"/>
                    <w:bottom w:val="single" w:color="000000" w:sz="4"/>
                    <w:right w:val="single" w:color="000000" w:sz="4"/>
                  </w:tcBorders>
                </w:tcP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三号教学楼走廊</w:t>
                  </w:r>
                </w:p>
                <w:p>
                  <w:pPr>
                    <w:pStyle w:val="null3"/>
                    <w:jc w:val="center"/>
                  </w:pPr>
                  <w:r>
                    <w:rPr>
                      <w:rFonts w:ascii="仿宋_GB2312" w:hAnsi="仿宋_GB2312" w:cs="仿宋_GB2312" w:eastAsia="仿宋_GB2312"/>
                      <w:sz w:val="21"/>
                    </w:rPr>
                    <w:t>造型文化墙</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382</w:t>
                  </w:r>
                </w:p>
              </w:tc>
              <w:tc>
                <w:tcPr>
                  <w:tcW w:type="dxa" w:w="1035"/>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5"/>
                  <w:vMerge/>
                  <w:tcBorders>
                    <w:top w:val="none" w:color="000000" w:sz="4"/>
                    <w:left w:val="single" w:color="000000" w:sz="4"/>
                    <w:bottom w:val="single" w:color="000000" w:sz="4"/>
                    <w:right w:val="single" w:color="000000" w:sz="4"/>
                  </w:tcBorders>
                </w:tcP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南客厅造型文化墙</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c>
                <w:tcPr>
                  <w:tcW w:type="dxa" w:w="1035"/>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5"/>
                  <w:vMerge/>
                  <w:tcBorders>
                    <w:top w:val="none" w:color="000000" w:sz="4"/>
                    <w:left w:val="single" w:color="000000" w:sz="4"/>
                    <w:bottom w:val="single" w:color="000000" w:sz="4"/>
                    <w:right w:val="single" w:color="000000" w:sz="4"/>
                  </w:tcBorders>
                </w:tcP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顶部造型</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253</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1.材质：防火板、铝方通、LED光源等</w:t>
                  </w:r>
                </w:p>
                <w:p>
                  <w:pPr>
                    <w:pStyle w:val="null3"/>
                    <w:jc w:val="left"/>
                  </w:pPr>
                  <w:r>
                    <w:rPr>
                      <w:rFonts w:ascii="仿宋_GB2312" w:hAnsi="仿宋_GB2312" w:cs="仿宋_GB2312" w:eastAsia="仿宋_GB2312"/>
                      <w:sz w:val="21"/>
                    </w:rPr>
                    <w:t>2.安装方式：防火木工板边吊、卡尺龙骨固定</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bl>
          <w:p>
            <w:pPr>
              <w:pStyle w:val="null3"/>
              <w:jc w:val="left"/>
            </w:pPr>
            <w:r>
              <w:rPr>
                <w:rFonts w:ascii="仿宋_GB2312" w:hAnsi="仿宋_GB2312" w:cs="仿宋_GB2312" w:eastAsia="仿宋_GB2312"/>
                <w:sz w:val="20"/>
              </w:rPr>
              <w:t>三、</w:t>
            </w:r>
            <w:r>
              <w:rPr>
                <w:rFonts w:ascii="仿宋_GB2312" w:hAnsi="仿宋_GB2312" w:cs="仿宋_GB2312" w:eastAsia="仿宋_GB2312"/>
                <w:sz w:val="20"/>
                <w:b/>
              </w:rPr>
              <w:t>服务要求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整体项目符合中省市有关思政校园建设的相关要求；</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供应商需有专业的策划团队、施工团队；</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供应商具有校园文化、党建相关类型项目服务经验。</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供应商需有项目小组提供全程服务。</w:t>
            </w:r>
          </w:p>
          <w:p>
            <w:pPr>
              <w:pStyle w:val="null3"/>
              <w:jc w:val="both"/>
            </w:pPr>
            <w:r>
              <w:rPr>
                <w:rFonts w:ascii="仿宋_GB2312" w:hAnsi="仿宋_GB2312" w:cs="仿宋_GB2312" w:eastAsia="仿宋_GB2312"/>
                <w:sz w:val="20"/>
                <w:b/>
              </w:rPr>
              <w:t>四、其他</w:t>
            </w:r>
          </w:p>
          <w:p>
            <w:pPr>
              <w:pStyle w:val="null3"/>
              <w:jc w:val="left"/>
            </w:pPr>
            <w:r>
              <w:rPr>
                <w:rFonts w:ascii="仿宋_GB2312" w:hAnsi="仿宋_GB2312" w:cs="仿宋_GB2312" w:eastAsia="仿宋_GB2312"/>
                <w:sz w:val="20"/>
              </w:rPr>
              <w:t>（一）质量验收标准或规范</w:t>
            </w:r>
          </w:p>
          <w:p>
            <w:pPr>
              <w:pStyle w:val="null3"/>
              <w:jc w:val="left"/>
            </w:pPr>
            <w:r>
              <w:rPr>
                <w:rFonts w:ascii="仿宋_GB2312" w:hAnsi="仿宋_GB2312" w:cs="仿宋_GB2312" w:eastAsia="仿宋_GB2312"/>
                <w:sz w:val="20"/>
              </w:rPr>
              <w:t>符合现行的国家标准或行业标准。</w:t>
            </w:r>
          </w:p>
          <w:p>
            <w:pPr>
              <w:pStyle w:val="null3"/>
              <w:jc w:val="left"/>
            </w:pPr>
            <w:r>
              <w:rPr>
                <w:rFonts w:ascii="仿宋_GB2312" w:hAnsi="仿宋_GB2312" w:cs="仿宋_GB2312" w:eastAsia="仿宋_GB2312"/>
                <w:sz w:val="20"/>
              </w:rPr>
              <w:t>（二）</w:t>
            </w:r>
            <w:r>
              <w:rPr>
                <w:rFonts w:ascii="仿宋_GB2312" w:hAnsi="仿宋_GB2312" w:cs="仿宋_GB2312" w:eastAsia="仿宋_GB2312"/>
                <w:sz w:val="20"/>
              </w:rPr>
              <w:t>产品质保期及售后服务</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质保期：</w:t>
            </w:r>
            <w:r>
              <w:rPr>
                <w:rFonts w:ascii="仿宋_GB2312" w:hAnsi="仿宋_GB2312" w:cs="仿宋_GB2312" w:eastAsia="仿宋_GB2312"/>
                <w:sz w:val="20"/>
              </w:rPr>
              <w:t>2</w:t>
            </w:r>
            <w:r>
              <w:rPr>
                <w:rFonts w:ascii="仿宋_GB2312" w:hAnsi="仿宋_GB2312" w:cs="仿宋_GB2312" w:eastAsia="仿宋_GB2312"/>
                <w:sz w:val="20"/>
              </w:rPr>
              <w:t>年（自项目验收合格之日起）。</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售后服务：质保期内出现任何质量问题（非人为或自然因素），乙方需及时响应，并在</w:t>
            </w:r>
            <w:r>
              <w:rPr>
                <w:rFonts w:ascii="仿宋_GB2312" w:hAnsi="仿宋_GB2312" w:cs="仿宋_GB2312" w:eastAsia="仿宋_GB2312"/>
                <w:sz w:val="20"/>
              </w:rPr>
              <w:t>48</w:t>
            </w:r>
            <w:r>
              <w:rPr>
                <w:rFonts w:ascii="仿宋_GB2312" w:hAnsi="仿宋_GB2312" w:cs="仿宋_GB2312" w:eastAsia="仿宋_GB2312"/>
                <w:sz w:val="20"/>
              </w:rPr>
              <w:t>小时内委派专人员到达现场给予及时解决</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三</w:t>
            </w:r>
            <w:r>
              <w:rPr>
                <w:rFonts w:ascii="仿宋_GB2312" w:hAnsi="仿宋_GB2312" w:cs="仿宋_GB2312" w:eastAsia="仿宋_GB2312"/>
                <w:sz w:val="20"/>
              </w:rPr>
              <w:t>）违约责任</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依据《中华人民共和国合同法》、《中华人民共和国招标与投标法》、《政府采购法》的相关条款和本合同约定，成交单位未全面履行合同义务或者发生违约，采购单位会同采购代理机构有权终止合同，依法向成交单位进行经济索赔，并报请采购监督管理机关进行相应的行政处罚。采购单位违约的，应当赔偿给成交单位造成的经济损失。</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禁止乙方提供假冒产品，以次充好，一经查实，甲方有权单方解除本合同，同时，乙方还须按合同总价款向甲方支付违约金，并赔偿由此给甲方造成的损失。</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乙方所供产品在正常使用中（使用不当除外），由于产品本身质量问题给甲方或第三方造成损失的，乙方应负责赔偿。乙方所供产品出现质量问题或造成损失的，须经相关部门进行鉴定时，乙方必须配合甲方。如甲方通知后，乙方不能到场或有效配合的，则视为全部责任为乙方。</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乙方施工期间，必须充分考虑保证人员的施工环境安全性、稳妥性，如因乙方疏忽造成的意外损伤，包括人员安全及物件安全，乙方承担全部责任。</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如甲方不能按照合同要求及时支付款项，并超期一个月仍未付款，应按银行同期活期存款利率支付给乙方利息。</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商务要求</w:t>
            </w:r>
          </w:p>
          <w:p>
            <w:pPr>
              <w:pStyle w:val="null3"/>
            </w:pPr>
            <w:r>
              <w:rPr>
                <w:rFonts w:ascii="仿宋_GB2312" w:hAnsi="仿宋_GB2312" w:cs="仿宋_GB2312" w:eastAsia="仿宋_GB2312"/>
                <w:sz w:val="20"/>
              </w:rPr>
              <w:t>1交货时间：2025年8月30日前</w:t>
            </w:r>
          </w:p>
          <w:p>
            <w:pPr>
              <w:pStyle w:val="null3"/>
            </w:pPr>
            <w:r>
              <w:rPr>
                <w:rFonts w:ascii="仿宋_GB2312" w:hAnsi="仿宋_GB2312" w:cs="仿宋_GB2312" w:eastAsia="仿宋_GB2312"/>
                <w:sz w:val="20"/>
              </w:rPr>
              <w:t>2交货地点：甲方指定地点</w:t>
            </w:r>
          </w:p>
          <w:p>
            <w:pPr>
              <w:pStyle w:val="null3"/>
            </w:pPr>
            <w:r>
              <w:rPr>
                <w:rFonts w:ascii="仿宋_GB2312" w:hAnsi="仿宋_GB2312" w:cs="仿宋_GB2312" w:eastAsia="仿宋_GB2312"/>
                <w:sz w:val="20"/>
              </w:rPr>
              <w:t>3.质量保证期：2年</w:t>
            </w:r>
          </w:p>
          <w:p>
            <w:pPr>
              <w:pStyle w:val="null3"/>
            </w:pPr>
            <w:r>
              <w:rPr>
                <w:rFonts w:ascii="仿宋_GB2312" w:hAnsi="仿宋_GB2312" w:cs="仿宋_GB2312" w:eastAsia="仿宋_GB2312"/>
                <w:sz w:val="20"/>
              </w:rPr>
              <w:t>4.款项结算</w:t>
            </w:r>
          </w:p>
          <w:p>
            <w:pPr>
              <w:pStyle w:val="null3"/>
            </w:pPr>
            <w:r>
              <w:rPr>
                <w:rFonts w:ascii="仿宋_GB2312" w:hAnsi="仿宋_GB2312" w:cs="仿宋_GB2312" w:eastAsia="仿宋_GB2312"/>
                <w:sz w:val="20"/>
              </w:rPr>
              <w:t>1）支付方式：银行转账。</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付款条件说明：</w:t>
            </w:r>
            <w:r>
              <w:rPr>
                <w:rFonts w:ascii="仿宋_GB2312" w:hAnsi="仿宋_GB2312" w:cs="仿宋_GB2312" w:eastAsia="仿宋_GB2312"/>
                <w:sz w:val="20"/>
              </w:rPr>
              <w:t>合同签订生效后支付预付款</w:t>
            </w:r>
            <w:r>
              <w:rPr>
                <w:rFonts w:ascii="仿宋_GB2312" w:hAnsi="仿宋_GB2312" w:cs="仿宋_GB2312" w:eastAsia="仿宋_GB2312"/>
                <w:sz w:val="20"/>
              </w:rPr>
              <w:t>，达到付款条件起</w:t>
            </w:r>
            <w:r>
              <w:rPr>
                <w:rFonts w:ascii="仿宋_GB2312" w:hAnsi="仿宋_GB2312" w:cs="仿宋_GB2312" w:eastAsia="仿宋_GB2312"/>
                <w:sz w:val="20"/>
              </w:rPr>
              <w:t xml:space="preserve">20 </w:t>
            </w:r>
            <w:r>
              <w:rPr>
                <w:rFonts w:ascii="仿宋_GB2312" w:hAnsi="仿宋_GB2312" w:cs="仿宋_GB2312" w:eastAsia="仿宋_GB2312"/>
                <w:sz w:val="20"/>
              </w:rPr>
              <w:t xml:space="preserve">日内，支付合同总金额的 </w:t>
            </w:r>
            <w:r>
              <w:rPr>
                <w:rFonts w:ascii="仿宋_GB2312" w:hAnsi="仿宋_GB2312" w:cs="仿宋_GB2312" w:eastAsia="仿宋_GB2312"/>
                <w:sz w:val="20"/>
              </w:rPr>
              <w:t>40.00%</w:t>
            </w:r>
            <w:r>
              <w:rPr>
                <w:rFonts w:ascii="仿宋_GB2312" w:hAnsi="仿宋_GB2312" w:cs="仿宋_GB2312" w:eastAsia="仿宋_GB2312"/>
                <w:sz w:val="20"/>
              </w:rPr>
              <w:t>。</w:t>
            </w:r>
          </w:p>
          <w:p>
            <w:pPr>
              <w:pStyle w:val="null3"/>
              <w:ind w:firstLine="200"/>
              <w:jc w:val="both"/>
            </w:pPr>
            <w:r>
              <w:rPr>
                <w:rFonts w:ascii="仿宋_GB2312" w:hAnsi="仿宋_GB2312" w:cs="仿宋_GB2312" w:eastAsia="仿宋_GB2312"/>
                <w:sz w:val="20"/>
              </w:rPr>
              <w:t>项目结束并经书面验收合格，达到付款条件起</w:t>
            </w:r>
            <w:r>
              <w:rPr>
                <w:rFonts w:ascii="仿宋_GB2312" w:hAnsi="仿宋_GB2312" w:cs="仿宋_GB2312" w:eastAsia="仿宋_GB2312"/>
                <w:sz w:val="20"/>
              </w:rPr>
              <w:t>20</w:t>
            </w:r>
            <w:r>
              <w:rPr>
                <w:rFonts w:ascii="仿宋_GB2312" w:hAnsi="仿宋_GB2312" w:cs="仿宋_GB2312" w:eastAsia="仿宋_GB2312"/>
                <w:sz w:val="20"/>
              </w:rPr>
              <w:t xml:space="preserve">日内，支付合同总金额的 </w:t>
            </w:r>
            <w:r>
              <w:rPr>
                <w:rFonts w:ascii="仿宋_GB2312" w:hAnsi="仿宋_GB2312" w:cs="仿宋_GB2312" w:eastAsia="仿宋_GB2312"/>
                <w:sz w:val="20"/>
              </w:rPr>
              <w:t>60.00%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）结算方式：供应商持验收书，发票（按合同总价开采购人），成交通知书、服务合同，与采购人结算。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交货时间：2025年8月30日前</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合同签订生效后支付预付款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项目结束并经书面验收合格</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按磋商文件、响应文件及合同相关条款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按磋商文件、响应文件及合同相关条款</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按磋商文件、响应文件及合同相关条款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1）具有独立承担民事责任的能力。提供注册登记凭证（营业执照、其他组织经营的合法凭证，自然人的提供身份证明文件）。 2）具有良好的商业信誉和健全的财务会计制度 提供经审计的2023年度或2024年财务报告（包括四表一注，即资产负债表、利润表、现金流量表、所有者权益变动表及其附注，财务报告中附二维码），且无反对意见；事业法人提供部门决算报告；/或在磋商截止日期前六个月内其基本开户银行出具的资信证明（附《基本存款账户信息》或《银行开户许可证》复印件）； /或财政部门认可的政府采购专业担保机构出具的磋商担保函；/或表明具有良好的商业信誉和健全的财务会计制度的诚信声明；以上四种形式的资料提供任何一种即可。 3）具有履行合同所必需的设备和专业技术能力 提供声明文件。 4）具有依法缴纳税收的良好记录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或具有依法缴纳税收的诚信声明；以上三种形式的资料提供任何一种即可。 5）具有依法缴纳社会保障资金的良好记录 提供缴费所属日期为磋商截止时间前12个月内任一月份（磋商截止时间当月不计入）的缴费凭据或社保机关出具的缴费证明/在法规范围内不需提供的应出具书面说明和证明文件/或具有依法缴纳社保的诚信声明；以上三种形式的资料提供任何一种即可。 6）参加政府采购活动前3年内在经营活动中没有重大违法记录的书面声明。 7）法人代表授权书，提交投标截止时间前12个月内任意1个月份在本单位缴纳社保证明材料。 8）本项目专门面向小微企业采购（提供符合《政府采购促进中小企业发展管理办法》（财库﹝2020﹞46号）文件要求的中小企业声明函原件）。说明：残疾人福利性单位和监狱企业视同小型、微型企业，若残疾人福利性单位参与投标的须提供符合《财政部 民政部 中国残疾人联合会关于促进残疾人就业政府采购政策的通知》（财库〔2017〕141号）文件要求的残疾人福利性单位声明函；若投标单位属于（财库〔2014〕68号）文件规定的监狱企业的，提供由省级以上监狱管理局、戒毒管理局（含新疆生产建设兵团）出具的属于监狱企业的证明文件。</w:t>
            </w:r>
          </w:p>
        </w:tc>
        <w:tc>
          <w:tcPr>
            <w:tcW w:type="dxa" w:w="1661"/>
          </w:tcPr>
          <w:p>
            <w:pPr>
              <w:pStyle w:val="null3"/>
            </w:pPr>
            <w:r>
              <w:rPr>
                <w:rFonts w:ascii="仿宋_GB2312" w:hAnsi="仿宋_GB2312" w:cs="仿宋_GB2312" w:eastAsia="仿宋_GB2312"/>
              </w:rPr>
              <w:t>资格部分.docx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充分、公平竞争保障措施（实质性要求）</w:t>
            </w:r>
          </w:p>
        </w:tc>
        <w:tc>
          <w:tcPr>
            <w:tcW w:type="dxa" w:w="3322"/>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c>
          <w:tcPr>
            <w:tcW w:type="dxa" w:w="1661"/>
          </w:tcPr>
          <w:p>
            <w:pPr>
              <w:pStyle w:val="null3"/>
            </w:pPr>
            <w:r>
              <w:rPr>
                <w:rFonts w:ascii="仿宋_GB2312" w:hAnsi="仿宋_GB2312" w:cs="仿宋_GB2312" w:eastAsia="仿宋_GB2312"/>
              </w:rPr>
              <w:t>响应文件封面 技术商务部分.docx 产品技术参数表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磋商响应文件的完整性、有效性、 响应性审查</w:t>
            </w:r>
          </w:p>
        </w:tc>
        <w:tc>
          <w:tcPr>
            <w:tcW w:type="dxa" w:w="3322"/>
          </w:tcPr>
          <w:p>
            <w:pPr>
              <w:pStyle w:val="null3"/>
            </w:pPr>
            <w:r>
              <w:rPr>
                <w:rFonts w:ascii="仿宋_GB2312" w:hAnsi="仿宋_GB2312" w:cs="仿宋_GB2312" w:eastAsia="仿宋_GB2312"/>
              </w:rPr>
              <w:t>响应文件是否按照磋商文件要求的格式编写， 响应文件的签署、加盖印章是否合格、有效， 磋商报价是否未超过采购预算或最高限价，磋 商报价有效期是否符合磋商文件的要求。</w:t>
            </w:r>
          </w:p>
        </w:tc>
        <w:tc>
          <w:tcPr>
            <w:tcW w:type="dxa" w:w="1661"/>
          </w:tcPr>
          <w:p>
            <w:pPr>
              <w:pStyle w:val="null3"/>
            </w:pPr>
            <w:r>
              <w:rPr>
                <w:rFonts w:ascii="仿宋_GB2312" w:hAnsi="仿宋_GB2312" w:cs="仿宋_GB2312" w:eastAsia="仿宋_GB2312"/>
              </w:rPr>
              <w:t>技术商务部分.docx 响应文件封面 产品技术参数表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技术要求响应</w:t>
            </w:r>
          </w:p>
        </w:tc>
        <w:tc>
          <w:tcPr>
            <w:tcW w:type="dxa" w:w="2492"/>
          </w:tcPr>
          <w:p>
            <w:pPr>
              <w:pStyle w:val="null3"/>
            </w:pPr>
            <w:r>
              <w:rPr>
                <w:rFonts w:ascii="仿宋_GB2312" w:hAnsi="仿宋_GB2312" w:cs="仿宋_GB2312" w:eastAsia="仿宋_GB2312"/>
              </w:rPr>
              <w:t>供应商所提供的技术要求响应内容完全满足磋商文件相关标准，满足采购人实际需求，根据响应情况得5～3分； 供应商所提供内容存在缺漏项，导致项目实施过程中可能存在实施不及时、工作不到位的情况，根据响应情况得2.9～0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根据对各投标人的整体实施方案(包括但不限于：供货及安装进度计划、质量保证措施、安全保证措施、劳动力安排、主要机械设备配备计划等)。 1.方案内容完整合理、思路清晰、可操作性强，15～10分； 2.方案内容较为完整合理、思路清晰、可操作性强，9.9～5分； 3.内容不合理、思路模糊、可操作性一般，4.9～0分； 5.未提供，不得分。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针对本项目采购需求及项目实际情况，提供设计效果图。1.效果图设计且色彩搭配合理，与项目实际情况契合，满足本项目采购需求，得10～6分；2.效果图设计且色彩搭配较合理，与项目实际情况较契合，较满足本项目采购需求，得5.9～3分；3.效果图设计且色彩搭配基本合理，与项目实际情况基本契合，基本满足本项目采购需求，得2.9～0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1.供应商结合本项目要求，从策划团队、施工团队；具有校园文化、党建相关类型项目服务经验等方面，满足磋商文件要求且服务好、专业能力强的服务团队，根据响应情况得15～10分； 2.供应商所配备相关服务团队满足本项目服务需求，相关人员素质较好，根据响应情况得9.9～7分； 3.供应商所配备相关服务团队基本满足本项目服务需求，相关人员素质较为一般，根据响应情况得6.9～3分； 4.供应商所配备相关人员素质较差，不能完全满足本项目实际需求，投入人员团队经验不够丰富,可能在服务期内出现响应不及时、工作不到位的情况，根据响应情况得2.9～0分。 5.未提供，不得分。 （以上内容需提供术人员的简历、学历证书等证明材料）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对项目实施过程突发的紧急状况有合理化建议及相关措施可行： 1.处理方式可行、处理人员配备合理、响应时间短、问题处理迅速得 6～3分； 2.处理方式基本一般、处理人员配备不合理、响应时间长、问题处理耗时长得2.9～0分。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由评审小组根据投标人针对本项目的售后服务承诺(如响应时间、服务团队力量、服务措施、等内容)进行评分： 1.售后服务方案详细、措施完善、配备充足的技术人员，能保证7*24小时技术支持服务，具体、可行，有利于提高服务质量和效率，得6～3分； 2.售后服务方案笼统、片面，措施较差，技术支持人员综合比较较差，得2.9～0分； 3.未提供，不得分。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1.全部产品进入“节能产品政府采购品目清单”的，得1分； 全部产品进入“环境标志产品政府采购品目清单”的，得1分，提供证明文件（符合财库﹝2019﹞9号文件）。 2.供应商所投LED产品产品需具有中国节能产品认证证书，得1分。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提供2021年1月1日（以合同签订日期为准）至今类似项目业绩，每提供一个业绩计2分，最高10分。 评审依据：完整合同复印件加盖公章。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